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560"/>
        <w:jc w:val="center"/>
        <w:rPr>
          <w:rFonts w:ascii="Times New Roman" w:hAnsi="Times New Roman" w:eastAsia="黑体"/>
          <w:color w:val="auto"/>
          <w:sz w:val="36"/>
          <w:szCs w:val="36"/>
          <w:highlight w:val="none"/>
        </w:rPr>
      </w:pPr>
      <w:bookmarkStart w:id="245" w:name="_GoBack"/>
      <w:r>
        <w:rPr>
          <w:rFonts w:hint="eastAsia" w:ascii="Times New Roman" w:hAnsi="Times New Roman" w:eastAsia="黑体"/>
          <w:color w:val="auto"/>
          <w:sz w:val="36"/>
          <w:szCs w:val="36"/>
          <w:highlight w:val="none"/>
        </w:rPr>
        <w:t>四川智慧高速科技有限公司</w:t>
      </w:r>
    </w:p>
    <w:p>
      <w:pPr>
        <w:ind w:firstLine="560"/>
        <w:jc w:val="cente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u w:val="single"/>
        </w:rPr>
        <w:t>多媒体会议室设备采购</w:t>
      </w:r>
      <w:r>
        <w:rPr>
          <w:rFonts w:hint="eastAsia" w:ascii="宋体" w:hAnsi="宋体" w:cs="宋体"/>
          <w:b/>
          <w:bCs/>
          <w:color w:val="auto"/>
          <w:sz w:val="36"/>
          <w:szCs w:val="36"/>
          <w:highlight w:val="none"/>
        </w:rPr>
        <w:t>项目</w:t>
      </w:r>
      <w:r>
        <w:rPr>
          <w:rFonts w:hint="eastAsia" w:ascii="宋体" w:hAnsi="宋体" w:cs="宋体"/>
          <w:b/>
          <w:bCs/>
          <w:color w:val="auto"/>
          <w:sz w:val="36"/>
          <w:szCs w:val="36"/>
          <w:highlight w:val="none"/>
          <w:lang w:eastAsia="zh-CN"/>
        </w:rPr>
        <w:t>（</w:t>
      </w:r>
      <w:r>
        <w:rPr>
          <w:rFonts w:hint="eastAsia" w:ascii="宋体" w:hAnsi="宋体" w:cs="宋体"/>
          <w:b/>
          <w:bCs/>
          <w:color w:val="auto"/>
          <w:sz w:val="36"/>
          <w:szCs w:val="36"/>
          <w:highlight w:val="none"/>
          <w:lang w:val="en-US" w:eastAsia="zh-CN"/>
        </w:rPr>
        <w:t>第二次</w:t>
      </w:r>
      <w:r>
        <w:rPr>
          <w:rFonts w:hint="eastAsia" w:ascii="宋体" w:hAnsi="宋体" w:cs="宋体"/>
          <w:b/>
          <w:bCs/>
          <w:color w:val="auto"/>
          <w:sz w:val="36"/>
          <w:szCs w:val="36"/>
          <w:highlight w:val="none"/>
          <w:lang w:eastAsia="zh-CN"/>
        </w:rPr>
        <w:t>）</w:t>
      </w:r>
    </w:p>
    <w:p>
      <w:pPr>
        <w:ind w:firstLine="56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DMTSB标段</w:t>
      </w:r>
    </w:p>
    <w:p>
      <w:pPr>
        <w:jc w:val="center"/>
        <w:rPr>
          <w:rFonts w:ascii="宋体" w:hAnsi="宋体" w:cs="宋体"/>
          <w:b/>
          <w:bCs/>
          <w:color w:val="auto"/>
          <w:sz w:val="44"/>
          <w:szCs w:val="44"/>
          <w:highlight w:val="none"/>
        </w:rPr>
      </w:pPr>
    </w:p>
    <w:p>
      <w:pPr>
        <w:spacing w:line="400" w:lineRule="exact"/>
        <w:rPr>
          <w:rFonts w:ascii="宋体" w:hAnsi="宋体" w:cs="宋体"/>
          <w:b/>
          <w:bCs/>
          <w:color w:val="auto"/>
          <w:highlight w:val="none"/>
        </w:rPr>
      </w:pPr>
    </w:p>
    <w:p>
      <w:pPr>
        <w:spacing w:line="400" w:lineRule="exact"/>
        <w:jc w:val="right"/>
        <w:rPr>
          <w:rFonts w:ascii="宋体" w:hAnsi="宋体" w:cs="宋体"/>
          <w:b/>
          <w:bCs/>
          <w:color w:val="auto"/>
          <w:highlight w:val="none"/>
        </w:rPr>
      </w:pPr>
    </w:p>
    <w:p>
      <w:pPr>
        <w:jc w:val="center"/>
        <w:rPr>
          <w:rFonts w:ascii="宋体" w:hAnsi="宋体" w:cs="宋体"/>
          <w:b/>
          <w:bCs/>
          <w:color w:val="auto"/>
          <w:sz w:val="44"/>
          <w:highlight w:val="none"/>
        </w:rPr>
      </w:pPr>
    </w:p>
    <w:p>
      <w:pPr>
        <w:jc w:val="center"/>
        <w:rPr>
          <w:rFonts w:ascii="宋体" w:hAnsi="宋体" w:cs="宋体"/>
          <w:b/>
          <w:bCs/>
          <w:color w:val="auto"/>
          <w:sz w:val="44"/>
          <w:highlight w:val="none"/>
        </w:rPr>
      </w:pPr>
    </w:p>
    <w:p>
      <w:pPr>
        <w:jc w:val="center"/>
        <w:rPr>
          <w:rFonts w:ascii="宋体" w:hAnsi="宋体" w:cs="宋体"/>
          <w:b/>
          <w:bCs/>
          <w:color w:val="auto"/>
          <w:sz w:val="44"/>
          <w:highlight w:val="none"/>
        </w:rPr>
      </w:pPr>
    </w:p>
    <w:p>
      <w:pPr>
        <w:jc w:val="center"/>
        <w:rPr>
          <w:rFonts w:ascii="宋体" w:hAnsi="宋体" w:cs="宋体"/>
          <w:b/>
          <w:bCs/>
          <w:color w:val="auto"/>
          <w:sz w:val="56"/>
          <w:szCs w:val="32"/>
          <w:highlight w:val="none"/>
        </w:rPr>
      </w:pPr>
      <w:r>
        <w:rPr>
          <w:rFonts w:hint="eastAsia" w:ascii="宋体" w:hAnsi="宋体" w:cs="宋体"/>
          <w:b/>
          <w:bCs/>
          <w:color w:val="auto"/>
          <w:sz w:val="56"/>
          <w:szCs w:val="32"/>
          <w:highlight w:val="none"/>
        </w:rPr>
        <w:t>比选文件</w:t>
      </w:r>
    </w:p>
    <w:p>
      <w:pPr>
        <w:spacing w:line="400" w:lineRule="exact"/>
        <w:rPr>
          <w:rFonts w:ascii="宋体" w:hAnsi="宋体" w:cs="宋体"/>
          <w:b/>
          <w:bCs/>
          <w:color w:val="auto"/>
          <w:highlight w:val="none"/>
        </w:rPr>
      </w:pPr>
    </w:p>
    <w:p>
      <w:pPr>
        <w:spacing w:line="400" w:lineRule="exact"/>
        <w:rPr>
          <w:rFonts w:ascii="宋体" w:hAnsi="宋体" w:cs="宋体"/>
          <w:b/>
          <w:bCs/>
          <w:color w:val="auto"/>
          <w:highlight w:val="none"/>
        </w:rPr>
      </w:pPr>
    </w:p>
    <w:p>
      <w:pPr>
        <w:spacing w:line="400" w:lineRule="exact"/>
        <w:rPr>
          <w:rFonts w:ascii="宋体" w:hAnsi="宋体" w:cs="宋体"/>
          <w:b/>
          <w:bCs/>
          <w:color w:val="auto"/>
          <w:highlight w:val="none"/>
        </w:rPr>
      </w:pPr>
    </w:p>
    <w:p>
      <w:pPr>
        <w:spacing w:line="400" w:lineRule="exact"/>
        <w:rPr>
          <w:rFonts w:ascii="宋体" w:hAnsi="宋体" w:cs="宋体"/>
          <w:b/>
          <w:bCs/>
          <w:color w:val="auto"/>
          <w:highlight w:val="none"/>
        </w:rPr>
      </w:pPr>
    </w:p>
    <w:p>
      <w:pPr>
        <w:spacing w:line="400" w:lineRule="exact"/>
        <w:rPr>
          <w:rFonts w:ascii="宋体" w:hAnsi="宋体" w:cs="宋体"/>
          <w:b/>
          <w:bCs/>
          <w:color w:val="auto"/>
          <w:highlight w:val="none"/>
        </w:rPr>
      </w:pPr>
    </w:p>
    <w:p>
      <w:pPr>
        <w:spacing w:line="400" w:lineRule="exact"/>
        <w:rPr>
          <w:rFonts w:ascii="宋体" w:hAnsi="宋体" w:cs="宋体"/>
          <w:b/>
          <w:bCs/>
          <w:color w:val="auto"/>
          <w:highlight w:val="none"/>
        </w:rPr>
      </w:pPr>
    </w:p>
    <w:p>
      <w:pPr>
        <w:spacing w:line="400" w:lineRule="exact"/>
        <w:rPr>
          <w:rFonts w:ascii="宋体" w:hAnsi="宋体" w:cs="宋体"/>
          <w:b/>
          <w:bCs/>
          <w:color w:val="auto"/>
          <w:highlight w:val="none"/>
        </w:rPr>
      </w:pPr>
    </w:p>
    <w:p>
      <w:pPr>
        <w:spacing w:line="400" w:lineRule="exact"/>
        <w:rPr>
          <w:rFonts w:ascii="宋体" w:hAnsi="宋体" w:cs="宋体"/>
          <w:b/>
          <w:bCs/>
          <w:color w:val="auto"/>
          <w:highlight w:val="none"/>
        </w:rPr>
      </w:pPr>
    </w:p>
    <w:p>
      <w:pPr>
        <w:spacing w:line="400" w:lineRule="exact"/>
        <w:rPr>
          <w:rFonts w:ascii="宋体" w:hAnsi="宋体" w:cs="宋体"/>
          <w:b/>
          <w:bCs/>
          <w:color w:val="auto"/>
          <w:highlight w:val="none"/>
        </w:rPr>
      </w:pPr>
    </w:p>
    <w:p>
      <w:pPr>
        <w:jc w:val="center"/>
        <w:rPr>
          <w:rFonts w:ascii="宋体" w:hAnsi="宋体" w:cs="宋体"/>
          <w:b/>
          <w:bCs/>
          <w:color w:val="auto"/>
          <w:sz w:val="28"/>
          <w:highlight w:val="none"/>
        </w:rPr>
      </w:pPr>
      <w:r>
        <w:rPr>
          <w:rFonts w:hint="eastAsia" w:ascii="宋体" w:hAnsi="宋体" w:cs="宋体"/>
          <w:b/>
          <w:bCs/>
          <w:color w:val="auto"/>
          <w:sz w:val="28"/>
          <w:highlight w:val="none"/>
        </w:rPr>
        <w:t>比选人：</w:t>
      </w:r>
      <w:r>
        <w:rPr>
          <w:rFonts w:hint="eastAsia" w:ascii="宋体" w:hAnsi="宋体" w:cs="宋体"/>
          <w:b/>
          <w:bCs/>
          <w:color w:val="auto"/>
          <w:sz w:val="28"/>
          <w:szCs w:val="28"/>
          <w:highlight w:val="none"/>
          <w:u w:val="single"/>
        </w:rPr>
        <w:t xml:space="preserve"> 四川智慧高速科技有限公司 </w:t>
      </w:r>
    </w:p>
    <w:p>
      <w:pPr>
        <w:jc w:val="center"/>
        <w:rPr>
          <w:rFonts w:ascii="宋体" w:hAnsi="宋体" w:cs="宋体"/>
          <w:b/>
          <w:bCs/>
          <w:color w:val="auto"/>
          <w:sz w:val="28"/>
          <w:highlight w:val="none"/>
        </w:rPr>
      </w:pPr>
    </w:p>
    <w:p>
      <w:pPr>
        <w:jc w:val="center"/>
        <w:rPr>
          <w:rFonts w:ascii="宋体" w:hAnsi="宋体" w:cs="宋体"/>
          <w:b/>
          <w:bCs/>
          <w:color w:val="auto"/>
          <w:sz w:val="28"/>
          <w:highlight w:val="none"/>
        </w:rPr>
      </w:pPr>
      <w:r>
        <w:rPr>
          <w:rFonts w:hint="eastAsia" w:ascii="宋体" w:hAnsi="宋体" w:cs="宋体"/>
          <w:b/>
          <w:bCs/>
          <w:color w:val="auto"/>
          <w:highlight w:val="none"/>
          <w:u w:val="single"/>
        </w:rPr>
        <w:t xml:space="preserve"> </w:t>
      </w:r>
      <w:r>
        <w:rPr>
          <w:rFonts w:hint="eastAsia" w:ascii="宋体" w:hAnsi="宋体" w:cs="宋体"/>
          <w:b/>
          <w:bCs/>
          <w:color w:val="auto"/>
          <w:sz w:val="28"/>
          <w:szCs w:val="28"/>
          <w:highlight w:val="none"/>
          <w:u w:val="single"/>
        </w:rPr>
        <w:t>2023</w:t>
      </w:r>
      <w:r>
        <w:rPr>
          <w:rFonts w:hint="eastAsia" w:ascii="宋体" w:hAnsi="宋体" w:cs="宋体"/>
          <w:b/>
          <w:bCs/>
          <w:color w:val="auto"/>
          <w:sz w:val="28"/>
          <w:highlight w:val="none"/>
        </w:rPr>
        <w:t>年</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5</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月</w:t>
      </w:r>
    </w:p>
    <w:p>
      <w:pPr>
        <w:spacing w:after="160" w:line="259" w:lineRule="auto"/>
        <w:rPr>
          <w:rFonts w:ascii="宋体" w:hAnsi="宋体" w:cs="宋体"/>
          <w:color w:val="auto"/>
          <w:spacing w:val="-6"/>
          <w:szCs w:val="21"/>
          <w:highlight w:val="none"/>
        </w:rPr>
      </w:pPr>
      <w:r>
        <w:rPr>
          <w:rFonts w:hint="eastAsia" w:ascii="宋体" w:hAnsi="宋体" w:cs="宋体"/>
          <w:color w:val="auto"/>
          <w:spacing w:val="-6"/>
          <w:szCs w:val="21"/>
          <w:highlight w:val="none"/>
        </w:rPr>
        <w:br w:type="page"/>
      </w:r>
    </w:p>
    <w:p>
      <w:pPr>
        <w:jc w:val="center"/>
        <w:rPr>
          <w:rFonts w:ascii="宋体" w:hAnsi="宋体" w:cs="宋体"/>
          <w:b/>
          <w:bCs/>
          <w:color w:val="auto"/>
          <w:spacing w:val="-6"/>
          <w:sz w:val="24"/>
          <w:szCs w:val="24"/>
          <w:highlight w:val="none"/>
        </w:rPr>
      </w:pPr>
      <w:r>
        <w:rPr>
          <w:rFonts w:hint="eastAsia" w:ascii="宋体" w:hAnsi="宋体" w:cs="宋体"/>
          <w:b/>
          <w:bCs/>
          <w:color w:val="auto"/>
          <w:spacing w:val="-6"/>
          <w:sz w:val="24"/>
          <w:szCs w:val="24"/>
          <w:highlight w:val="none"/>
        </w:rPr>
        <w:t>前 言</w:t>
      </w:r>
    </w:p>
    <w:p>
      <w:pPr>
        <w:ind w:firstLine="456"/>
        <w:rPr>
          <w:rFonts w:ascii="宋体" w:hAnsi="宋体" w:cs="宋体"/>
          <w:color w:val="auto"/>
          <w:spacing w:val="-4"/>
          <w:szCs w:val="21"/>
          <w:highlight w:val="none"/>
        </w:rPr>
      </w:pPr>
      <w:r>
        <w:rPr>
          <w:rFonts w:hint="eastAsia" w:ascii="宋体" w:hAnsi="宋体" w:cs="宋体"/>
          <w:color w:val="auto"/>
          <w:spacing w:val="-6"/>
          <w:szCs w:val="21"/>
          <w:highlight w:val="none"/>
        </w:rPr>
        <w:t>一、本项目比选文件依据中华人民共和国《标准设备采购招标文件》（2017年版）</w:t>
      </w:r>
      <w:r>
        <w:rPr>
          <w:rFonts w:hint="eastAsia" w:ascii="宋体" w:hAnsi="宋体" w:cs="宋体"/>
          <w:color w:val="auto"/>
          <w:spacing w:val="-4"/>
          <w:szCs w:val="21"/>
          <w:highlight w:val="none"/>
        </w:rPr>
        <w:t>，结合本项目的具体特点和实际需要</w:t>
      </w:r>
      <w:r>
        <w:rPr>
          <w:rFonts w:hint="eastAsia" w:ascii="宋体" w:hAnsi="宋体" w:cs="宋体"/>
          <w:color w:val="auto"/>
          <w:spacing w:val="-6"/>
          <w:szCs w:val="21"/>
          <w:highlight w:val="none"/>
        </w:rPr>
        <w:t>编制而成。</w:t>
      </w:r>
      <w:r>
        <w:rPr>
          <w:rFonts w:hint="eastAsia" w:ascii="宋体" w:hAnsi="宋体" w:cs="宋体"/>
          <w:color w:val="auto"/>
          <w:spacing w:val="-4"/>
          <w:szCs w:val="21"/>
          <w:highlight w:val="none"/>
        </w:rPr>
        <w:t>本册为项目专用本。</w:t>
      </w:r>
    </w:p>
    <w:p>
      <w:pPr>
        <w:spacing w:before="120" w:beforeLines="50"/>
        <w:ind w:firstLine="456"/>
        <w:rPr>
          <w:rFonts w:ascii="宋体" w:hAnsi="宋体" w:cs="宋体"/>
          <w:color w:val="auto"/>
          <w:spacing w:val="-6"/>
          <w:szCs w:val="21"/>
          <w:highlight w:val="none"/>
        </w:rPr>
      </w:pPr>
      <w:r>
        <w:rPr>
          <w:rFonts w:hint="eastAsia" w:ascii="宋体" w:hAnsi="宋体" w:cs="宋体"/>
          <w:color w:val="auto"/>
          <w:spacing w:val="-6"/>
          <w:szCs w:val="21"/>
          <w:highlight w:val="none"/>
        </w:rPr>
        <w:t>二、项目专用本是对《标准设备采购招标文件》的补充、完善和修改，比选申请人应将《标准设备采购招标文件》和项目专用本结合阅读。《标准设备采购招标文件》中的比选申请人须知、评审办法和合同通用条款及技术规范是标准化的条款和规范；针对项目特点对其所作的具体规定、修改和补充分别编在本项目专用本的“比选申请须知前附表”、“评审办法前附表”、“合同专用条款(包括数据表)”、“技术规范专用条款”及其他表格、格式中</w:t>
      </w:r>
      <w:r>
        <w:rPr>
          <w:rFonts w:hint="eastAsia" w:ascii="宋体" w:hAnsi="宋体" w:cs="宋体"/>
          <w:bCs/>
          <w:color w:val="auto"/>
          <w:spacing w:val="-6"/>
          <w:szCs w:val="21"/>
          <w:highlight w:val="none"/>
        </w:rPr>
        <w:t>。</w:t>
      </w:r>
      <w:r>
        <w:rPr>
          <w:rFonts w:hint="eastAsia" w:ascii="宋体" w:hAnsi="宋体" w:cs="宋体"/>
          <w:color w:val="auto"/>
          <w:spacing w:val="-6"/>
          <w:szCs w:val="21"/>
          <w:highlight w:val="none"/>
        </w:rPr>
        <w:t>凡《标准设备采购招标文件》与项目专用本对同一规定、要求、数据或注解有不一致之处，以项目专用本为准。凡项目专用本中未编入的内容均以标准文件为准。</w:t>
      </w:r>
    </w:p>
    <w:p>
      <w:pPr>
        <w:spacing w:before="120" w:beforeLines="50"/>
        <w:ind w:firstLine="456"/>
        <w:rPr>
          <w:rFonts w:ascii="宋体" w:hAnsi="宋体" w:cs="宋体"/>
          <w:color w:val="auto"/>
          <w:spacing w:val="-6"/>
          <w:szCs w:val="21"/>
          <w:highlight w:val="none"/>
        </w:rPr>
      </w:pPr>
      <w:r>
        <w:rPr>
          <w:rFonts w:hint="eastAsia" w:ascii="宋体" w:hAnsi="宋体" w:cs="宋体"/>
          <w:color w:val="auto"/>
          <w:spacing w:val="-6"/>
          <w:szCs w:val="21"/>
          <w:highlight w:val="none"/>
        </w:rPr>
        <w:t>三、比选申请人的比选申请文件应按照项目专用本和《标准设备采购招标文件》的要求编制，完整反映项目专用本和标准文件的要求和内容。</w:t>
      </w:r>
    </w:p>
    <w:p>
      <w:pPr>
        <w:ind w:firstLine="456"/>
        <w:rPr>
          <w:rFonts w:ascii="宋体" w:hAnsi="宋体" w:cs="宋体"/>
          <w:color w:val="auto"/>
          <w:spacing w:val="-6"/>
          <w:szCs w:val="21"/>
          <w:highlight w:val="none"/>
        </w:rPr>
      </w:pPr>
    </w:p>
    <w:p>
      <w:pPr>
        <w:ind w:firstLine="456"/>
        <w:rPr>
          <w:rFonts w:ascii="宋体" w:hAnsi="宋体" w:cs="宋体"/>
          <w:color w:val="auto"/>
          <w:spacing w:val="-6"/>
          <w:szCs w:val="21"/>
          <w:highlight w:val="none"/>
        </w:rPr>
      </w:pPr>
      <w:r>
        <w:rPr>
          <w:rFonts w:hint="eastAsia" w:ascii="宋体" w:hAnsi="宋体" w:cs="宋体"/>
          <w:color w:val="auto"/>
          <w:spacing w:val="-6"/>
          <w:szCs w:val="21"/>
          <w:highlight w:val="none"/>
        </w:rPr>
        <w:t>注：1、比选文件中提到的时间除有特别说明外，均指北京时间。</w:t>
      </w:r>
    </w:p>
    <w:p>
      <w:pPr>
        <w:ind w:firstLine="792" w:firstLineChars="400"/>
        <w:rPr>
          <w:rFonts w:ascii="宋体" w:hAnsi="宋体" w:cs="宋体"/>
          <w:color w:val="auto"/>
          <w:spacing w:val="-6"/>
          <w:szCs w:val="21"/>
          <w:highlight w:val="none"/>
        </w:rPr>
      </w:pPr>
      <w:r>
        <w:rPr>
          <w:rFonts w:hint="eastAsia" w:ascii="宋体" w:hAnsi="宋体" w:cs="宋体"/>
          <w:color w:val="auto"/>
          <w:spacing w:val="-6"/>
          <w:szCs w:val="21"/>
          <w:highlight w:val="none"/>
        </w:rPr>
        <w:t>2、比选文件中提到的货币单位除有特别说明外，均指人民币元。</w:t>
      </w:r>
    </w:p>
    <w:p>
      <w:pPr>
        <w:ind w:left="1050" w:leftChars="371" w:hanging="271" w:hangingChars="137"/>
        <w:rPr>
          <w:rFonts w:ascii="宋体" w:hAnsi="宋体" w:cs="宋体"/>
          <w:color w:val="auto"/>
          <w:spacing w:val="-6"/>
          <w:szCs w:val="21"/>
          <w:highlight w:val="none"/>
        </w:rPr>
      </w:pPr>
      <w:r>
        <w:rPr>
          <w:rFonts w:hint="eastAsia" w:ascii="宋体" w:hAnsi="宋体" w:cs="宋体"/>
          <w:color w:val="auto"/>
          <w:spacing w:val="-6"/>
          <w:szCs w:val="21"/>
          <w:highlight w:val="none"/>
        </w:rPr>
        <w:t>3、比选文件中提到的“近3年”除有特别说明外，均指2020年1月1日至比选申请文件递交截止日；比选文件中提到的“近5年”除有特别说明外，均指2018年1月1日至比选申请文件递交截止日。</w:t>
      </w:r>
    </w:p>
    <w:p>
      <w:pPr>
        <w:ind w:firstLine="480"/>
        <w:rPr>
          <w:rFonts w:ascii="宋体" w:hAnsi="宋体" w:cs="宋体"/>
          <w:color w:val="auto"/>
          <w:szCs w:val="21"/>
          <w:highlight w:val="none"/>
        </w:rPr>
      </w:pPr>
    </w:p>
    <w:p>
      <w:pPr>
        <w:ind w:firstLine="458"/>
        <w:rPr>
          <w:rFonts w:ascii="宋体" w:hAnsi="宋体" w:cs="宋体"/>
          <w:b/>
          <w:bCs/>
          <w:color w:val="auto"/>
          <w:spacing w:val="-6"/>
          <w:szCs w:val="21"/>
          <w:highlight w:val="none"/>
        </w:rPr>
      </w:pPr>
      <w:r>
        <w:rPr>
          <w:rFonts w:hint="eastAsia" w:ascii="宋体" w:hAnsi="宋体" w:cs="宋体"/>
          <w:b/>
          <w:bCs/>
          <w:color w:val="auto"/>
          <w:spacing w:val="-6"/>
          <w:szCs w:val="21"/>
          <w:highlight w:val="none"/>
        </w:rPr>
        <w:t>本比选文件解释权归比选人。</w:t>
      </w:r>
    </w:p>
    <w:p>
      <w:pPr>
        <w:ind w:firstLine="458"/>
        <w:rPr>
          <w:rFonts w:ascii="宋体" w:hAnsi="宋体" w:cs="宋体"/>
          <w:b/>
          <w:bCs/>
          <w:color w:val="auto"/>
          <w:spacing w:val="-6"/>
          <w:szCs w:val="21"/>
          <w:highlight w:val="none"/>
        </w:rPr>
      </w:pPr>
    </w:p>
    <w:p>
      <w:pPr>
        <w:ind w:firstLine="458"/>
        <w:rPr>
          <w:rFonts w:ascii="宋体" w:hAnsi="宋体" w:cs="宋体"/>
          <w:b/>
          <w:bCs/>
          <w:color w:val="auto"/>
          <w:spacing w:val="-6"/>
          <w:szCs w:val="21"/>
          <w:highlight w:val="none"/>
        </w:rPr>
      </w:pPr>
    </w:p>
    <w:p>
      <w:pPr>
        <w:ind w:firstLine="458"/>
        <w:rPr>
          <w:rFonts w:ascii="宋体" w:hAnsi="宋体" w:cs="宋体"/>
          <w:b/>
          <w:bCs/>
          <w:color w:val="auto"/>
          <w:spacing w:val="-6"/>
          <w:szCs w:val="21"/>
          <w:highlight w:val="none"/>
        </w:rPr>
      </w:pPr>
    </w:p>
    <w:p>
      <w:pPr>
        <w:jc w:val="right"/>
        <w:rPr>
          <w:rFonts w:ascii="宋体" w:hAnsi="宋体" w:cs="宋体"/>
          <w:b/>
          <w:bCs/>
          <w:color w:val="auto"/>
          <w:spacing w:val="-6"/>
          <w:szCs w:val="21"/>
          <w:highlight w:val="none"/>
        </w:rPr>
      </w:pPr>
      <w:r>
        <w:rPr>
          <w:rFonts w:hint="eastAsia" w:ascii="宋体" w:hAnsi="宋体" w:cs="宋体"/>
          <w:b/>
          <w:bCs/>
          <w:color w:val="auto"/>
          <w:spacing w:val="-6"/>
          <w:szCs w:val="21"/>
          <w:highlight w:val="none"/>
        </w:rPr>
        <w:t>二</w:t>
      </w:r>
      <w:r>
        <w:rPr>
          <w:rFonts w:hint="eastAsia" w:ascii="宋体" w:hAnsi="宋体" w:cs="宋体"/>
          <w:b/>
          <w:bCs/>
          <w:color w:val="auto"/>
          <w:spacing w:val="-6"/>
          <w:szCs w:val="21"/>
          <w:highlight w:val="none"/>
          <w:lang w:val="en-US" w:eastAsia="zh-CN"/>
        </w:rPr>
        <w:t>〇</w:t>
      </w:r>
      <w:r>
        <w:rPr>
          <w:rFonts w:hint="eastAsia" w:ascii="宋体" w:hAnsi="宋体" w:cs="宋体"/>
          <w:b/>
          <w:bCs/>
          <w:color w:val="auto"/>
          <w:spacing w:val="-6"/>
          <w:szCs w:val="21"/>
          <w:highlight w:val="none"/>
        </w:rPr>
        <w:t>二三年</w:t>
      </w:r>
      <w:r>
        <w:rPr>
          <w:rFonts w:hint="eastAsia" w:ascii="宋体" w:hAnsi="宋体" w:cs="宋体"/>
          <w:b/>
          <w:bCs/>
          <w:color w:val="auto"/>
          <w:spacing w:val="-6"/>
          <w:szCs w:val="21"/>
          <w:highlight w:val="none"/>
          <w:lang w:val="en-US" w:eastAsia="zh-CN"/>
        </w:rPr>
        <w:t>五</w:t>
      </w:r>
      <w:r>
        <w:rPr>
          <w:rFonts w:hint="eastAsia" w:ascii="宋体" w:hAnsi="宋体" w:cs="宋体"/>
          <w:b/>
          <w:bCs/>
          <w:color w:val="auto"/>
          <w:spacing w:val="-6"/>
          <w:szCs w:val="21"/>
          <w:highlight w:val="none"/>
        </w:rPr>
        <w:t>月</w:t>
      </w:r>
    </w:p>
    <w:p>
      <w:pPr>
        <w:ind w:firstLine="456"/>
        <w:rPr>
          <w:rFonts w:ascii="宋体" w:hAnsi="宋体" w:cs="宋体"/>
          <w:color w:val="auto"/>
          <w:spacing w:val="-6"/>
          <w:szCs w:val="21"/>
          <w:highlight w:val="none"/>
        </w:rPr>
      </w:pPr>
    </w:p>
    <w:p>
      <w:pPr>
        <w:tabs>
          <w:tab w:val="left" w:pos="5220"/>
          <w:tab w:val="left" w:pos="5400"/>
          <w:tab w:val="left" w:pos="5580"/>
        </w:tabs>
        <w:ind w:firstLine="560"/>
        <w:rPr>
          <w:rFonts w:ascii="宋体" w:hAnsi="宋体" w:cs="宋体"/>
          <w:color w:val="auto"/>
          <w:sz w:val="28"/>
          <w:szCs w:val="28"/>
          <w:highlight w:val="none"/>
        </w:rPr>
      </w:pPr>
    </w:p>
    <w:p>
      <w:pPr>
        <w:tabs>
          <w:tab w:val="left" w:pos="5220"/>
          <w:tab w:val="left" w:pos="5400"/>
          <w:tab w:val="left" w:pos="5580"/>
        </w:tabs>
        <w:ind w:firstLine="400"/>
        <w:rPr>
          <w:rFonts w:ascii="宋体" w:hAnsi="宋体" w:cs="宋体"/>
          <w:color w:val="auto"/>
          <w:sz w:val="20"/>
          <w:highlight w:val="none"/>
        </w:rPr>
      </w:pPr>
    </w:p>
    <w:p>
      <w:pPr>
        <w:ind w:firstLine="420"/>
        <w:jc w:val="center"/>
        <w:rPr>
          <w:rFonts w:ascii="宋体" w:hAnsi="宋体" w:cs="宋体"/>
          <w:color w:val="auto"/>
          <w:highlight w:val="none"/>
        </w:rPr>
      </w:pPr>
      <w:r>
        <w:rPr>
          <w:rFonts w:hint="eastAsia" w:ascii="宋体" w:hAnsi="宋体" w:cs="宋体"/>
          <w:color w:val="auto"/>
          <w:highlight w:val="none"/>
        </w:rPr>
        <w:br w:type="page"/>
      </w:r>
    </w:p>
    <w:p>
      <w:pPr>
        <w:pStyle w:val="68"/>
        <w:jc w:val="center"/>
        <w:rPr>
          <w:rFonts w:ascii="宋体" w:hAnsi="宋体" w:eastAsia="宋体" w:cs="宋体"/>
          <w:b/>
          <w:color w:val="auto"/>
          <w:highlight w:val="none"/>
        </w:rPr>
      </w:pPr>
      <w:bookmarkStart w:id="0" w:name="_Toc152045511"/>
      <w:bookmarkStart w:id="1" w:name="_Toc152042287"/>
      <w:bookmarkStart w:id="2" w:name="_Toc144974479"/>
      <w:r>
        <w:rPr>
          <w:rFonts w:hint="eastAsia" w:ascii="宋体" w:hAnsi="宋体" w:eastAsia="宋体" w:cs="宋体"/>
          <w:b/>
          <w:color w:val="auto"/>
          <w:highlight w:val="none"/>
          <w:lang w:val="zh-CN"/>
        </w:rPr>
        <w:t>目  录</w:t>
      </w:r>
    </w:p>
    <w:p>
      <w:pPr>
        <w:pStyle w:val="28"/>
        <w:tabs>
          <w:tab w:val="right" w:leader="dot" w:pos="8630"/>
        </w:tabs>
        <w:ind w:firstLine="420"/>
        <w:jc w:val="center"/>
        <w:rPr>
          <w:rFonts w:ascii="宋体" w:hAnsi="宋体" w:cs="宋体"/>
          <w:color w:val="auto"/>
          <w:highlight w:val="none"/>
        </w:rPr>
      </w:pPr>
    </w:p>
    <w:p>
      <w:pPr>
        <w:pStyle w:val="28"/>
        <w:tabs>
          <w:tab w:val="right" w:pos="8640"/>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TOC \o "1-1" \n  \h \u </w:instrText>
      </w:r>
      <w:r>
        <w:rPr>
          <w:rFonts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"_Toc8604" </w:instrText>
      </w:r>
      <w:r>
        <w:rPr>
          <w:color w:val="auto"/>
          <w:highlight w:val="none"/>
        </w:rPr>
        <w:fldChar w:fldCharType="separate"/>
      </w:r>
      <w:r>
        <w:rPr>
          <w:rFonts w:hint="eastAsia" w:ascii="宋体" w:hAnsi="宋体" w:cs="宋体"/>
          <w:bCs/>
          <w:color w:val="auto"/>
          <w:kern w:val="44"/>
          <w:szCs w:val="44"/>
          <w:highlight w:val="none"/>
        </w:rPr>
        <w:t>第一章 比选公告</w:t>
      </w:r>
      <w:r>
        <w:rPr>
          <w:rFonts w:hint="eastAsia" w:ascii="宋体" w:hAnsi="宋体" w:cs="宋体"/>
          <w:bCs/>
          <w:color w:val="auto"/>
          <w:kern w:val="44"/>
          <w:szCs w:val="44"/>
          <w:highlight w:val="none"/>
        </w:rPr>
        <w:fldChar w:fldCharType="end"/>
      </w:r>
    </w:p>
    <w:p>
      <w:pPr>
        <w:pStyle w:val="28"/>
        <w:tabs>
          <w:tab w:val="right" w:pos="8640"/>
        </w:tabs>
        <w:rPr>
          <w:color w:val="auto"/>
          <w:highlight w:val="none"/>
        </w:rPr>
      </w:pPr>
      <w:r>
        <w:rPr>
          <w:color w:val="auto"/>
          <w:highlight w:val="none"/>
        </w:rPr>
        <w:fldChar w:fldCharType="begin"/>
      </w:r>
      <w:r>
        <w:rPr>
          <w:color w:val="auto"/>
          <w:highlight w:val="none"/>
        </w:rPr>
        <w:instrText xml:space="preserve"> HYPERLINK \l "_Toc24880" </w:instrText>
      </w:r>
      <w:r>
        <w:rPr>
          <w:color w:val="auto"/>
          <w:highlight w:val="none"/>
        </w:rPr>
        <w:fldChar w:fldCharType="separate"/>
      </w:r>
      <w:r>
        <w:rPr>
          <w:rFonts w:hint="eastAsia" w:ascii="宋体" w:hAnsi="宋体" w:cs="宋体"/>
          <w:bCs/>
          <w:color w:val="auto"/>
          <w:szCs w:val="36"/>
          <w:highlight w:val="none"/>
        </w:rPr>
        <w:t>第二章 比选申请人须知</w:t>
      </w:r>
      <w:r>
        <w:rPr>
          <w:rFonts w:hint="eastAsia" w:ascii="宋体" w:hAnsi="宋体" w:cs="宋体"/>
          <w:bCs/>
          <w:color w:val="auto"/>
          <w:szCs w:val="36"/>
          <w:highlight w:val="none"/>
        </w:rPr>
        <w:fldChar w:fldCharType="end"/>
      </w:r>
    </w:p>
    <w:p>
      <w:pPr>
        <w:pStyle w:val="28"/>
        <w:tabs>
          <w:tab w:val="right" w:pos="8640"/>
        </w:tabs>
        <w:rPr>
          <w:color w:val="auto"/>
          <w:highlight w:val="none"/>
        </w:rPr>
      </w:pPr>
      <w:r>
        <w:rPr>
          <w:color w:val="auto"/>
          <w:highlight w:val="none"/>
        </w:rPr>
        <w:fldChar w:fldCharType="begin"/>
      </w:r>
      <w:r>
        <w:rPr>
          <w:color w:val="auto"/>
          <w:highlight w:val="none"/>
        </w:rPr>
        <w:instrText xml:space="preserve"> HYPERLINK \l "_Toc5230" </w:instrText>
      </w:r>
      <w:r>
        <w:rPr>
          <w:color w:val="auto"/>
          <w:highlight w:val="none"/>
        </w:rPr>
        <w:fldChar w:fldCharType="separate"/>
      </w:r>
      <w:r>
        <w:rPr>
          <w:rFonts w:hint="eastAsia" w:ascii="宋体" w:hAnsi="宋体" w:cs="宋体"/>
          <w:bCs/>
          <w:color w:val="auto"/>
          <w:szCs w:val="36"/>
          <w:highlight w:val="none"/>
        </w:rPr>
        <w:t>第三章 评审办法</w:t>
      </w:r>
      <w:r>
        <w:rPr>
          <w:rFonts w:hint="eastAsia" w:ascii="宋体" w:hAnsi="宋体" w:cs="宋体"/>
          <w:bCs/>
          <w:color w:val="auto"/>
          <w:szCs w:val="36"/>
          <w:highlight w:val="none"/>
        </w:rPr>
        <w:fldChar w:fldCharType="end"/>
      </w:r>
    </w:p>
    <w:p>
      <w:pPr>
        <w:pStyle w:val="28"/>
        <w:tabs>
          <w:tab w:val="right" w:pos="8640"/>
        </w:tabs>
        <w:rPr>
          <w:color w:val="auto"/>
          <w:highlight w:val="none"/>
        </w:rPr>
      </w:pPr>
      <w:r>
        <w:rPr>
          <w:color w:val="auto"/>
          <w:highlight w:val="none"/>
        </w:rPr>
        <w:fldChar w:fldCharType="begin"/>
      </w:r>
      <w:r>
        <w:rPr>
          <w:color w:val="auto"/>
          <w:highlight w:val="none"/>
        </w:rPr>
        <w:instrText xml:space="preserve"> HYPERLINK \l "_Toc25333" </w:instrText>
      </w:r>
      <w:r>
        <w:rPr>
          <w:color w:val="auto"/>
          <w:highlight w:val="none"/>
        </w:rPr>
        <w:fldChar w:fldCharType="separate"/>
      </w:r>
      <w:r>
        <w:rPr>
          <w:rFonts w:hint="eastAsia" w:ascii="宋体" w:hAnsi="宋体" w:cs="宋体"/>
          <w:bCs/>
          <w:color w:val="auto"/>
          <w:szCs w:val="36"/>
          <w:highlight w:val="none"/>
        </w:rPr>
        <w:t>第四章 合同条款及格式</w:t>
      </w:r>
      <w:r>
        <w:rPr>
          <w:rFonts w:hint="eastAsia" w:ascii="宋体" w:hAnsi="宋体" w:cs="宋体"/>
          <w:bCs/>
          <w:color w:val="auto"/>
          <w:szCs w:val="36"/>
          <w:highlight w:val="none"/>
        </w:rPr>
        <w:fldChar w:fldCharType="end"/>
      </w:r>
    </w:p>
    <w:p>
      <w:pPr>
        <w:pStyle w:val="28"/>
        <w:tabs>
          <w:tab w:val="right" w:pos="8640"/>
        </w:tabs>
        <w:rPr>
          <w:color w:val="auto"/>
          <w:highlight w:val="none"/>
        </w:rPr>
      </w:pPr>
      <w:r>
        <w:rPr>
          <w:color w:val="auto"/>
          <w:highlight w:val="none"/>
        </w:rPr>
        <w:fldChar w:fldCharType="begin"/>
      </w:r>
      <w:r>
        <w:rPr>
          <w:color w:val="auto"/>
          <w:highlight w:val="none"/>
        </w:rPr>
        <w:instrText xml:space="preserve"> HYPERLINK \l "_Toc17417" </w:instrText>
      </w:r>
      <w:r>
        <w:rPr>
          <w:color w:val="auto"/>
          <w:highlight w:val="none"/>
        </w:rPr>
        <w:fldChar w:fldCharType="separate"/>
      </w:r>
      <w:r>
        <w:rPr>
          <w:rFonts w:hint="eastAsia" w:ascii="宋体" w:hAnsi="宋体" w:cs="宋体"/>
          <w:bCs/>
          <w:color w:val="auto"/>
          <w:szCs w:val="36"/>
          <w:highlight w:val="none"/>
        </w:rPr>
        <w:t>第五章 供货要求</w:t>
      </w:r>
      <w:r>
        <w:rPr>
          <w:rFonts w:hint="eastAsia" w:ascii="宋体" w:hAnsi="宋体" w:cs="宋体"/>
          <w:bCs/>
          <w:color w:val="auto"/>
          <w:szCs w:val="36"/>
          <w:highlight w:val="none"/>
        </w:rPr>
        <w:fldChar w:fldCharType="end"/>
      </w:r>
    </w:p>
    <w:p>
      <w:pPr>
        <w:pStyle w:val="28"/>
        <w:tabs>
          <w:tab w:val="right" w:pos="8640"/>
        </w:tabs>
        <w:rPr>
          <w:color w:val="auto"/>
          <w:highlight w:val="none"/>
        </w:rPr>
      </w:pPr>
      <w:r>
        <w:rPr>
          <w:color w:val="auto"/>
          <w:highlight w:val="none"/>
        </w:rPr>
        <w:fldChar w:fldCharType="begin"/>
      </w:r>
      <w:r>
        <w:rPr>
          <w:color w:val="auto"/>
          <w:highlight w:val="none"/>
        </w:rPr>
        <w:instrText xml:space="preserve"> HYPERLINK \l "_Toc27269" </w:instrText>
      </w:r>
      <w:r>
        <w:rPr>
          <w:color w:val="auto"/>
          <w:highlight w:val="none"/>
        </w:rPr>
        <w:fldChar w:fldCharType="separate"/>
      </w:r>
      <w:r>
        <w:rPr>
          <w:rFonts w:hint="eastAsia" w:ascii="宋体" w:hAnsi="宋体" w:cs="宋体"/>
          <w:bCs/>
          <w:color w:val="auto"/>
          <w:szCs w:val="36"/>
          <w:highlight w:val="none"/>
        </w:rPr>
        <w:t>第六章 比选申请文件格式</w:t>
      </w:r>
      <w:r>
        <w:rPr>
          <w:rFonts w:hint="eastAsia" w:ascii="宋体" w:hAnsi="宋体" w:cs="宋体"/>
          <w:bCs/>
          <w:color w:val="auto"/>
          <w:szCs w:val="36"/>
          <w:highlight w:val="none"/>
        </w:rPr>
        <w:fldChar w:fldCharType="end"/>
      </w:r>
    </w:p>
    <w:p>
      <w:pPr>
        <w:pStyle w:val="33"/>
        <w:tabs>
          <w:tab w:val="right" w:leader="dot" w:pos="8640"/>
        </w:tabs>
        <w:ind w:left="420"/>
        <w:rPr>
          <w:rFonts w:ascii="宋体" w:hAnsi="宋体" w:cs="宋体"/>
          <w:color w:val="auto"/>
          <w:highlight w:val="none"/>
        </w:rPr>
      </w:pPr>
      <w:r>
        <w:rPr>
          <w:rFonts w:ascii="宋体" w:hAnsi="宋体" w:cs="宋体"/>
          <w:color w:val="auto"/>
          <w:highlight w:val="none"/>
        </w:rPr>
        <w:fldChar w:fldCharType="end"/>
      </w:r>
    </w:p>
    <w:p>
      <w:pPr>
        <w:ind w:firstLine="420"/>
        <w:rPr>
          <w:rFonts w:ascii="宋体" w:hAnsi="宋体" w:cs="宋体"/>
          <w:color w:val="auto"/>
          <w:highlight w:val="none"/>
        </w:rPr>
        <w:sectPr>
          <w:footerReference r:id="rId5" w:type="default"/>
          <w:pgSz w:w="12240" w:h="15840"/>
          <w:pgMar w:top="1440" w:right="1800" w:bottom="1440" w:left="1800" w:header="720" w:footer="720" w:gutter="0"/>
          <w:pgNumType w:start="1"/>
          <w:cols w:space="720" w:num="1"/>
          <w:titlePg/>
          <w:docGrid w:linePitch="286" w:charSpace="0"/>
        </w:sectPr>
      </w:pPr>
    </w:p>
    <w:p>
      <w:pPr>
        <w:pStyle w:val="4"/>
        <w:widowControl w:val="0"/>
        <w:spacing w:before="0" w:after="160" w:line="240" w:lineRule="auto"/>
        <w:jc w:val="center"/>
        <w:rPr>
          <w:rFonts w:ascii="宋体" w:hAnsi="宋体" w:eastAsia="宋体" w:cs="宋体"/>
          <w:b/>
          <w:bCs/>
          <w:color w:val="auto"/>
          <w:kern w:val="44"/>
          <w:sz w:val="44"/>
          <w:szCs w:val="44"/>
          <w:highlight w:val="none"/>
        </w:rPr>
      </w:pPr>
      <w:bookmarkStart w:id="3" w:name="_Toc15441"/>
      <w:bookmarkStart w:id="4" w:name="_Toc8604"/>
      <w:r>
        <w:rPr>
          <w:rFonts w:hint="eastAsia" w:ascii="宋体" w:hAnsi="宋体" w:eastAsia="宋体" w:cs="宋体"/>
          <w:b/>
          <w:bCs/>
          <w:color w:val="auto"/>
          <w:kern w:val="44"/>
          <w:sz w:val="44"/>
          <w:szCs w:val="44"/>
          <w:highlight w:val="none"/>
        </w:rPr>
        <w:t xml:space="preserve">第一章 </w:t>
      </w:r>
      <w:r>
        <w:rPr>
          <w:rFonts w:hint="eastAsia" w:ascii="宋体" w:hAnsi="宋体" w:eastAsia="宋体" w:cs="宋体"/>
          <w:b/>
          <w:bCs/>
          <w:color w:val="auto"/>
          <w:kern w:val="44"/>
          <w:sz w:val="44"/>
          <w:szCs w:val="44"/>
          <w:highlight w:val="none"/>
        </w:rPr>
        <w:t>比选公告</w:t>
      </w:r>
      <w:bookmarkEnd w:id="3"/>
      <w:bookmarkEnd w:id="4"/>
    </w:p>
    <w:p>
      <w:pPr>
        <w:pStyle w:val="5"/>
        <w:widowControl w:val="0"/>
        <w:spacing w:before="0" w:after="0" w:line="360" w:lineRule="auto"/>
        <w:ind w:left="0" w:firstLine="200"/>
        <w:jc w:val="both"/>
        <w:rPr>
          <w:rFonts w:ascii="宋体" w:hAnsi="宋体" w:eastAsia="宋体" w:cs="宋体"/>
          <w:bCs/>
          <w:color w:val="auto"/>
          <w:szCs w:val="32"/>
          <w:highlight w:val="none"/>
        </w:rPr>
      </w:pPr>
      <w:r>
        <w:rPr>
          <w:rFonts w:hint="eastAsia" w:ascii="宋体" w:hAnsi="宋体" w:eastAsia="宋体" w:cs="宋体"/>
          <w:bCs/>
          <w:color w:val="auto"/>
          <w:szCs w:val="32"/>
          <w:highlight w:val="none"/>
        </w:rPr>
        <w:t>1、比选条件</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四川智慧高速科技有限公司</w:t>
      </w:r>
      <w:r>
        <w:rPr>
          <w:rFonts w:hint="eastAsia" w:ascii="宋体" w:hAnsi="宋体" w:cs="宋体"/>
          <w:color w:val="auto"/>
          <w:szCs w:val="21"/>
          <w:highlight w:val="none"/>
          <w:u w:val="single"/>
        </w:rPr>
        <w:t>多媒体会议室设备采购</w:t>
      </w:r>
      <w:r>
        <w:rPr>
          <w:rFonts w:hint="eastAsia" w:ascii="宋体" w:hAnsi="宋体"/>
          <w:color w:val="auto"/>
          <w:szCs w:val="21"/>
          <w:highlight w:val="none"/>
        </w:rPr>
        <w:t>项目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第二次</w:t>
      </w:r>
      <w:r>
        <w:rPr>
          <w:rFonts w:hint="eastAsia" w:ascii="宋体" w:hAnsi="宋体"/>
          <w:color w:val="auto"/>
          <w:szCs w:val="21"/>
          <w:highlight w:val="none"/>
          <w:lang w:eastAsia="zh-CN"/>
        </w:rPr>
        <w:t>）</w:t>
      </w:r>
      <w:r>
        <w:rPr>
          <w:rFonts w:hint="eastAsia" w:ascii="宋体" w:hAnsi="宋体" w:cs="宋体"/>
          <w:color w:val="auto"/>
          <w:szCs w:val="21"/>
          <w:highlight w:val="none"/>
        </w:rPr>
        <w:t>（以下简称“本项目”）将于近期实施，项目已具备比选条件，现由四川智慧高速科技有限公司作为本项目比选人（以下简称“比选人”），在四川智慧高速科技有限公司网站（http：//www.scglxx.com）上对本项目进行公开比选。</w:t>
      </w:r>
    </w:p>
    <w:p>
      <w:pPr>
        <w:pStyle w:val="5"/>
        <w:widowControl w:val="0"/>
        <w:spacing w:before="0" w:after="0" w:line="360" w:lineRule="auto"/>
        <w:ind w:left="0" w:firstLine="200"/>
        <w:jc w:val="both"/>
        <w:rPr>
          <w:rFonts w:ascii="宋体" w:hAnsi="宋体" w:eastAsia="宋体" w:cs="宋体"/>
          <w:bCs/>
          <w:color w:val="auto"/>
          <w:szCs w:val="32"/>
          <w:highlight w:val="none"/>
        </w:rPr>
      </w:pPr>
      <w:r>
        <w:rPr>
          <w:rFonts w:hint="eastAsia" w:ascii="宋体" w:hAnsi="宋体" w:eastAsia="宋体" w:cs="宋体"/>
          <w:bCs/>
          <w:color w:val="auto"/>
          <w:szCs w:val="32"/>
          <w:highlight w:val="none"/>
        </w:rPr>
        <w:t>2、项目概况与比选范围</w:t>
      </w:r>
    </w:p>
    <w:p>
      <w:pPr>
        <w:pStyle w:val="19"/>
        <w:spacing w:after="0"/>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2.2.1项目概况：</w:t>
      </w:r>
    </w:p>
    <w:p>
      <w:pPr>
        <w:pStyle w:val="19"/>
        <w:spacing w:after="0"/>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为满足公司工作需要，</w:t>
      </w:r>
      <w:r>
        <w:rPr>
          <w:rFonts w:hint="eastAsia" w:ascii="宋体" w:hAnsi="宋体" w:cs="宋体"/>
          <w:color w:val="auto"/>
          <w:szCs w:val="21"/>
          <w:highlight w:val="none"/>
          <w:lang w:val="en-US" w:eastAsia="zh-CN"/>
        </w:rPr>
        <w:t>比选人需</w:t>
      </w:r>
      <w:r>
        <w:rPr>
          <w:rFonts w:hint="eastAsia" w:ascii="宋体" w:hAnsi="宋体" w:cs="宋体"/>
          <w:color w:val="auto"/>
          <w:szCs w:val="21"/>
          <w:highlight w:val="none"/>
        </w:rPr>
        <w:t>采购多媒体会议室设备。</w:t>
      </w:r>
    </w:p>
    <w:p>
      <w:pPr>
        <w:pStyle w:val="19"/>
        <w:tabs>
          <w:tab w:val="left" w:pos="2412"/>
        </w:tabs>
        <w:spacing w:after="0"/>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2.2比选范围</w:t>
      </w:r>
    </w:p>
    <w:p>
      <w:pPr>
        <w:pStyle w:val="19"/>
        <w:spacing w:after="0"/>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本次比选范围为四川智慧高速科技有限公司</w:t>
      </w:r>
      <w:r>
        <w:rPr>
          <w:rFonts w:hint="eastAsia" w:ascii="宋体" w:hAnsi="宋体"/>
          <w:color w:val="auto"/>
          <w:szCs w:val="21"/>
          <w:highlight w:val="none"/>
          <w:u w:val="single"/>
        </w:rPr>
        <w:t>多媒体会议室设备</w:t>
      </w:r>
      <w:r>
        <w:rPr>
          <w:rFonts w:hint="eastAsia" w:ascii="宋体" w:hAnsi="宋体" w:cs="宋体"/>
          <w:color w:val="auto"/>
          <w:szCs w:val="21"/>
          <w:highlight w:val="none"/>
          <w:u w:val="single"/>
        </w:rPr>
        <w:t>设备</w:t>
      </w:r>
      <w:r>
        <w:rPr>
          <w:rFonts w:hint="eastAsia" w:ascii="宋体" w:hAnsi="宋体" w:cs="宋体"/>
          <w:color w:val="auto"/>
          <w:szCs w:val="21"/>
          <w:highlight w:val="none"/>
        </w:rPr>
        <w:t>的采购，包含设备的供货、运输、交付、安装、软件安装、配置、测试、调试、配合第三方应用软件安装、试运行、培训、验收（完工和交工）和质保期的服务。</w:t>
      </w:r>
    </w:p>
    <w:p>
      <w:pPr>
        <w:pStyle w:val="19"/>
        <w:spacing w:after="0"/>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主要供货内容见下表：</w:t>
      </w:r>
    </w:p>
    <w:tbl>
      <w:tblPr>
        <w:tblStyle w:val="37"/>
        <w:tblW w:w="9155" w:type="dxa"/>
        <w:tblInd w:w="0" w:type="dxa"/>
        <w:tblLayout w:type="fixed"/>
        <w:tblCellMar>
          <w:top w:w="0" w:type="dxa"/>
          <w:left w:w="0" w:type="dxa"/>
          <w:bottom w:w="0" w:type="dxa"/>
          <w:right w:w="0" w:type="dxa"/>
        </w:tblCellMar>
      </w:tblPr>
      <w:tblGrid>
        <w:gridCol w:w="800"/>
        <w:gridCol w:w="2358"/>
        <w:gridCol w:w="1071"/>
        <w:gridCol w:w="1018"/>
        <w:gridCol w:w="3908"/>
      </w:tblGrid>
      <w:tr>
        <w:tblPrEx>
          <w:tblCellMar>
            <w:top w:w="0" w:type="dxa"/>
            <w:left w:w="0" w:type="dxa"/>
            <w:bottom w:w="0" w:type="dxa"/>
            <w:right w:w="0" w:type="dxa"/>
          </w:tblCellMar>
        </w:tblPrEx>
        <w:trPr>
          <w:trHeight w:val="378" w:hRule="atLeast"/>
        </w:trPr>
        <w:tc>
          <w:tcPr>
            <w:tcW w:w="8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b/>
                <w:color w:val="auto"/>
                <w:szCs w:val="21"/>
                <w:highlight w:val="none"/>
                <w:lang w:bidi="ar"/>
              </w:rPr>
            </w:pPr>
            <w:r>
              <w:rPr>
                <w:rFonts w:hint="eastAsia" w:ascii="Arial" w:hAnsi="Arial" w:cs="Arial"/>
                <w:b/>
                <w:color w:val="auto"/>
                <w:szCs w:val="21"/>
                <w:highlight w:val="none"/>
                <w:lang w:bidi="ar"/>
              </w:rPr>
              <w:t>标段号</w:t>
            </w:r>
          </w:p>
        </w:tc>
        <w:tc>
          <w:tcPr>
            <w:tcW w:w="23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b/>
                <w:color w:val="auto"/>
                <w:szCs w:val="21"/>
                <w:highlight w:val="none"/>
                <w:lang w:bidi="ar"/>
              </w:rPr>
            </w:pPr>
            <w:r>
              <w:rPr>
                <w:rFonts w:ascii="Arial" w:hAnsi="Arial" w:cs="Arial"/>
                <w:b/>
                <w:color w:val="auto"/>
                <w:szCs w:val="21"/>
                <w:highlight w:val="none"/>
                <w:lang w:bidi="ar"/>
              </w:rPr>
              <w:t>设备材料名称</w:t>
            </w:r>
          </w:p>
        </w:tc>
        <w:tc>
          <w:tcPr>
            <w:tcW w:w="107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b/>
                <w:color w:val="auto"/>
                <w:szCs w:val="21"/>
                <w:highlight w:val="none"/>
                <w:lang w:bidi="ar"/>
              </w:rPr>
            </w:pPr>
            <w:r>
              <w:rPr>
                <w:rFonts w:hint="eastAsia" w:ascii="Arial" w:hAnsi="Arial" w:cs="Arial"/>
                <w:b/>
                <w:color w:val="auto"/>
                <w:szCs w:val="21"/>
                <w:highlight w:val="none"/>
                <w:lang w:bidi="ar"/>
              </w:rPr>
              <w:t>单位</w:t>
            </w:r>
          </w:p>
        </w:tc>
        <w:tc>
          <w:tcPr>
            <w:tcW w:w="101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b/>
                <w:color w:val="auto"/>
                <w:szCs w:val="21"/>
                <w:highlight w:val="none"/>
                <w:lang w:bidi="ar"/>
              </w:rPr>
            </w:pPr>
            <w:r>
              <w:rPr>
                <w:rFonts w:hint="eastAsia" w:ascii="Arial" w:hAnsi="Arial" w:cs="Arial"/>
                <w:b/>
                <w:color w:val="auto"/>
                <w:szCs w:val="21"/>
                <w:highlight w:val="none"/>
                <w:lang w:bidi="ar"/>
              </w:rPr>
              <w:t>数量</w:t>
            </w:r>
          </w:p>
        </w:tc>
        <w:tc>
          <w:tcPr>
            <w:tcW w:w="390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b/>
                <w:color w:val="auto"/>
                <w:szCs w:val="21"/>
                <w:highlight w:val="none"/>
                <w:lang w:bidi="ar"/>
              </w:rPr>
            </w:pPr>
            <w:r>
              <w:rPr>
                <w:rFonts w:ascii="Arial" w:hAnsi="Arial" w:cs="Arial"/>
                <w:b/>
                <w:color w:val="auto"/>
                <w:szCs w:val="21"/>
                <w:highlight w:val="none"/>
                <w:lang w:bidi="ar"/>
              </w:rPr>
              <w:t>到货地点</w:t>
            </w:r>
          </w:p>
        </w:tc>
      </w:tr>
      <w:tr>
        <w:tblPrEx>
          <w:tblCellMar>
            <w:top w:w="0" w:type="dxa"/>
            <w:left w:w="0" w:type="dxa"/>
            <w:bottom w:w="0" w:type="dxa"/>
            <w:right w:w="0" w:type="dxa"/>
          </w:tblCellMar>
        </w:tblPrEx>
        <w:trPr>
          <w:trHeight w:val="1489" w:hRule="atLeast"/>
        </w:trPr>
        <w:tc>
          <w:tcPr>
            <w:tcW w:w="800"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DMTSB</w:t>
            </w:r>
          </w:p>
        </w:tc>
        <w:tc>
          <w:tcPr>
            <w:tcW w:w="23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多媒体会议室设备</w:t>
            </w:r>
          </w:p>
        </w:tc>
        <w:tc>
          <w:tcPr>
            <w:tcW w:w="107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批</w:t>
            </w:r>
          </w:p>
        </w:tc>
        <w:tc>
          <w:tcPr>
            <w:tcW w:w="1018"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390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bidi="ar"/>
              </w:rPr>
              <w:t>成都市武侯区中海国际中心C座</w:t>
            </w:r>
            <w:r>
              <w:rPr>
                <w:rFonts w:hint="eastAsia" w:ascii="宋体" w:hAnsi="宋体" w:cs="宋体"/>
                <w:color w:val="auto"/>
                <w:szCs w:val="21"/>
                <w:highlight w:val="none"/>
                <w:lang w:val="en-US" w:eastAsia="zh-CN" w:bidi="ar"/>
              </w:rPr>
              <w:t>7楼</w:t>
            </w:r>
          </w:p>
        </w:tc>
      </w:tr>
    </w:tbl>
    <w:p>
      <w:pPr>
        <w:pStyle w:val="19"/>
        <w:tabs>
          <w:tab w:val="left" w:pos="2412"/>
        </w:tabs>
        <w:spacing w:after="0"/>
        <w:ind w:firstLine="420" w:firstLineChars="200"/>
        <w:jc w:val="both"/>
        <w:rPr>
          <w:rFonts w:ascii="宋体" w:hAnsi="宋体" w:cs="宋体"/>
          <w:color w:val="auto"/>
          <w:szCs w:val="21"/>
          <w:highlight w:val="none"/>
        </w:rPr>
      </w:pPr>
      <w:bookmarkStart w:id="5" w:name="_bookmark4"/>
      <w:bookmarkEnd w:id="5"/>
      <w:r>
        <w:rPr>
          <w:rFonts w:hint="eastAsia" w:ascii="宋体" w:hAnsi="宋体" w:cs="宋体"/>
          <w:color w:val="auto"/>
          <w:szCs w:val="21"/>
          <w:highlight w:val="none"/>
        </w:rPr>
        <w:t>供货期：供货周期1个月。试运行：6个月，质保期：不低于36个月。</w:t>
      </w:r>
    </w:p>
    <w:p>
      <w:pPr>
        <w:pStyle w:val="5"/>
        <w:widowControl w:val="0"/>
        <w:spacing w:before="0" w:after="0" w:line="360" w:lineRule="auto"/>
        <w:ind w:left="0" w:firstLine="200"/>
        <w:jc w:val="both"/>
        <w:rPr>
          <w:rFonts w:ascii="宋体" w:hAnsi="宋体" w:eastAsia="宋体" w:cs="宋体"/>
          <w:bCs/>
          <w:color w:val="auto"/>
          <w:szCs w:val="32"/>
          <w:highlight w:val="none"/>
        </w:rPr>
      </w:pPr>
      <w:r>
        <w:rPr>
          <w:rFonts w:hint="eastAsia" w:ascii="宋体" w:hAnsi="宋体" w:eastAsia="宋体" w:cs="宋体"/>
          <w:bCs/>
          <w:color w:val="auto"/>
          <w:szCs w:val="32"/>
          <w:highlight w:val="none"/>
        </w:rPr>
        <w:t>3、比选申请人资格要求</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3.1比选申请人须具备在中华人民共和国境内注册的合法有效的独立企业法人营业执照；具备有效的基本账户开户许可证或基本存款账户信息表（基本账户开户行出具）；具有与本比选项目相应的供货能力。</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3.2近三年（自2020年1月1日起）至少累计完成1个</w:t>
      </w:r>
      <w:r>
        <w:rPr>
          <w:rFonts w:hint="eastAsia" w:ascii="Arial" w:hAnsi="Arial" w:cs="Arial"/>
          <w:snapToGrid w:val="0"/>
          <w:color w:val="auto"/>
          <w:szCs w:val="21"/>
          <w:highlight w:val="none"/>
          <w:u w:val="single"/>
        </w:rPr>
        <w:t>多媒体会议室</w:t>
      </w:r>
      <w:r>
        <w:rPr>
          <w:rFonts w:hint="eastAsia" w:ascii="Arial" w:hAnsi="Arial" w:cs="Arial"/>
          <w:snapToGrid w:val="0"/>
          <w:color w:val="auto"/>
          <w:szCs w:val="21"/>
          <w:highlight w:val="none"/>
        </w:rPr>
        <w:t>设备的销售合同，且单个合同金额不小于</w:t>
      </w:r>
      <w:r>
        <w:rPr>
          <w:rFonts w:hint="eastAsia" w:ascii="宋体" w:hAnsi="宋体" w:cs="宋体"/>
          <w:color w:val="auto"/>
          <w:szCs w:val="21"/>
          <w:highlight w:val="none"/>
        </w:rPr>
        <w:t>25万元。</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3.3本次比选不接受联合体比选申请。</w:t>
      </w:r>
    </w:p>
    <w:p>
      <w:pPr>
        <w:pStyle w:val="2"/>
        <w:ind w:left="0" w:leftChars="0" w:firstLineChars="200"/>
        <w:rPr>
          <w:color w:val="auto"/>
          <w:highlight w:val="none"/>
        </w:rPr>
      </w:pPr>
      <w:r>
        <w:rPr>
          <w:rFonts w:hint="eastAsia" w:ascii="宋体" w:hAnsi="宋体" w:cs="宋体"/>
          <w:color w:val="auto"/>
          <w:szCs w:val="21"/>
          <w:highlight w:val="none"/>
        </w:rPr>
        <w:t>3.4</w:t>
      </w:r>
      <w:r>
        <w:rPr>
          <w:rFonts w:hint="eastAsia" w:ascii="宋体" w:hAnsi="宋体" w:cs="宋体"/>
          <w:color w:val="auto"/>
          <w:highlight w:val="none"/>
        </w:rPr>
        <w:t>同一品牌的设备，仅能有一家单位参与比选申请，否则相关单位比选申请均无效。</w:t>
      </w:r>
    </w:p>
    <w:p>
      <w:pPr>
        <w:pStyle w:val="5"/>
        <w:widowControl w:val="0"/>
        <w:spacing w:before="0" w:after="0" w:line="360" w:lineRule="auto"/>
        <w:ind w:left="0" w:firstLine="200"/>
        <w:jc w:val="both"/>
        <w:rPr>
          <w:rFonts w:ascii="宋体" w:hAnsi="宋体" w:eastAsia="宋体" w:cs="宋体"/>
          <w:bCs/>
          <w:color w:val="auto"/>
          <w:szCs w:val="32"/>
          <w:highlight w:val="none"/>
        </w:rPr>
      </w:pPr>
      <w:r>
        <w:rPr>
          <w:rFonts w:hint="eastAsia" w:ascii="宋体" w:hAnsi="宋体" w:eastAsia="宋体" w:cs="宋体"/>
          <w:bCs/>
          <w:color w:val="auto"/>
          <w:szCs w:val="32"/>
          <w:highlight w:val="none"/>
        </w:rPr>
        <w:t>4、评审办法</w:t>
      </w:r>
    </w:p>
    <w:p>
      <w:pPr>
        <w:adjustRightInd w:val="0"/>
        <w:snapToGrid w:val="0"/>
        <w:ind w:firstLine="480"/>
        <w:rPr>
          <w:rFonts w:ascii="宋体" w:hAnsi="宋体" w:cs="宋体"/>
          <w:color w:val="auto"/>
          <w:szCs w:val="21"/>
          <w:highlight w:val="none"/>
        </w:rPr>
      </w:pPr>
      <w:r>
        <w:rPr>
          <w:rFonts w:hint="eastAsia" w:ascii="宋体" w:hAnsi="宋体" w:cs="宋体"/>
          <w:color w:val="auto"/>
          <w:kern w:val="2"/>
          <w:szCs w:val="21"/>
          <w:highlight w:val="none"/>
        </w:rPr>
        <w:t>本次评审采用综合评估法，单信封形式，</w:t>
      </w:r>
      <w:r>
        <w:rPr>
          <w:rFonts w:hint="eastAsia" w:ascii="宋体" w:hAnsi="宋体" w:cs="宋体"/>
          <w:color w:val="auto"/>
          <w:highlight w:val="none"/>
        </w:rPr>
        <w:t>资格后审。</w:t>
      </w:r>
      <w:r>
        <w:rPr>
          <w:rFonts w:hint="eastAsia" w:ascii="宋体" w:hAnsi="宋体" w:cs="宋体"/>
          <w:color w:val="auto"/>
          <w:spacing w:val="-3"/>
          <w:highlight w:val="none"/>
        </w:rPr>
        <w:t>根据通过评审的比选申请人评分由高到低的顺序排名，推荐最多</w:t>
      </w:r>
      <w:r>
        <w:rPr>
          <w:rFonts w:hint="eastAsia" w:ascii="宋体" w:hAnsi="宋体" w:cs="宋体"/>
          <w:color w:val="auto"/>
          <w:szCs w:val="21"/>
          <w:highlight w:val="none"/>
        </w:rPr>
        <w:t>3名比选申请人为中选候选人。</w:t>
      </w:r>
    </w:p>
    <w:p>
      <w:pPr>
        <w:pStyle w:val="5"/>
        <w:widowControl w:val="0"/>
        <w:spacing w:before="0" w:after="0" w:line="360" w:lineRule="auto"/>
        <w:ind w:left="0" w:firstLine="200"/>
        <w:jc w:val="both"/>
        <w:rPr>
          <w:rFonts w:ascii="宋体" w:hAnsi="宋体" w:eastAsia="宋体" w:cs="宋体"/>
          <w:bCs/>
          <w:color w:val="auto"/>
          <w:szCs w:val="32"/>
          <w:highlight w:val="none"/>
        </w:rPr>
      </w:pPr>
      <w:r>
        <w:rPr>
          <w:rFonts w:hint="eastAsia" w:ascii="宋体" w:hAnsi="宋体" w:eastAsia="宋体" w:cs="宋体"/>
          <w:bCs/>
          <w:color w:val="auto"/>
          <w:szCs w:val="32"/>
          <w:highlight w:val="none"/>
        </w:rPr>
        <w:t>5、比选文件的获取</w:t>
      </w:r>
    </w:p>
    <w:p>
      <w:pPr>
        <w:ind w:firstLine="420" w:firstLineChars="200"/>
        <w:jc w:val="both"/>
        <w:rPr>
          <w:rFonts w:ascii="宋体" w:hAnsi="宋体" w:cs="宋体"/>
          <w:color w:val="auto"/>
          <w:highlight w:val="none"/>
        </w:rPr>
      </w:pPr>
      <w:r>
        <w:rPr>
          <w:rFonts w:hint="eastAsia" w:ascii="宋体" w:hAnsi="宋体" w:cs="宋体"/>
          <w:color w:val="auto"/>
          <w:highlight w:val="none"/>
        </w:rPr>
        <w:t>5.1凡具备以上比选申请资格且有意参加比选的申请人，请于2023年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9</w:t>
      </w:r>
      <w:r>
        <w:rPr>
          <w:rFonts w:hint="eastAsia" w:ascii="宋体" w:hAnsi="宋体" w:cs="宋体"/>
          <w:color w:val="auto"/>
          <w:highlight w:val="none"/>
        </w:rPr>
        <w:t>日本公告发布之时起在“四川智慧高速科技有限公司网站（http：//www.scglxx.com）”的比选公告栏的本项目比选公告中匿名下载比选文件。（本项目无需点击报名按钮报名）</w:t>
      </w:r>
    </w:p>
    <w:p>
      <w:pPr>
        <w:ind w:firstLine="420" w:firstLineChars="200"/>
        <w:jc w:val="both"/>
        <w:rPr>
          <w:rFonts w:ascii="宋体" w:hAnsi="宋体" w:cs="宋体"/>
          <w:color w:val="auto"/>
          <w:highlight w:val="none"/>
        </w:rPr>
      </w:pPr>
      <w:r>
        <w:rPr>
          <w:rFonts w:hint="eastAsia" w:ascii="宋体" w:hAnsi="宋体" w:cs="宋体"/>
          <w:color w:val="auto"/>
          <w:highlight w:val="none"/>
        </w:rPr>
        <w:t>5.2补遗书（如果有）、通知书（如果有）及相关公告在四川智慧高速科技有限公司网站（http：//www.scglxx.com）发布。</w:t>
      </w:r>
    </w:p>
    <w:p>
      <w:pPr>
        <w:ind w:firstLine="420" w:firstLineChars="200"/>
        <w:jc w:val="both"/>
        <w:rPr>
          <w:rFonts w:ascii="宋体" w:hAnsi="宋体" w:cs="宋体"/>
          <w:color w:val="auto"/>
          <w:highlight w:val="none"/>
        </w:rPr>
      </w:pPr>
      <w:r>
        <w:rPr>
          <w:rFonts w:hint="eastAsia" w:ascii="宋体" w:hAnsi="宋体" w:cs="宋体"/>
          <w:color w:val="auto"/>
          <w:highlight w:val="none"/>
        </w:rPr>
        <w:t>5.3比选人不提供其他任何报名和比选申请文件获取的方式。比选申请人应在比选期间适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p>
      <w:pPr>
        <w:pStyle w:val="5"/>
        <w:ind w:left="562" w:leftChars="134" w:hanging="281" w:hangingChars="100"/>
        <w:jc w:val="both"/>
        <w:rPr>
          <w:rFonts w:ascii="宋体" w:hAnsi="宋体" w:cs="宋体"/>
          <w:color w:val="auto"/>
          <w:highlight w:val="none"/>
        </w:rPr>
      </w:pPr>
      <w:r>
        <w:rPr>
          <w:rFonts w:hint="eastAsia" w:ascii="宋体" w:hAnsi="宋体" w:cs="宋体"/>
          <w:color w:val="auto"/>
          <w:highlight w:val="none"/>
        </w:rPr>
        <w:t>6、比选申请保证金</w:t>
      </w:r>
    </w:p>
    <w:p>
      <w:pPr>
        <w:pStyle w:val="22"/>
        <w:ind w:firstLine="523" w:firstLineChars="218"/>
        <w:rPr>
          <w:rFonts w:hAnsi="宋体" w:cs="宋体"/>
          <w:color w:val="auto"/>
          <w:kern w:val="2"/>
          <w:sz w:val="24"/>
          <w:szCs w:val="24"/>
          <w:highlight w:val="none"/>
        </w:rPr>
      </w:pPr>
      <w:r>
        <w:rPr>
          <w:rFonts w:hint="eastAsia" w:hAnsi="宋体" w:cs="宋体"/>
          <w:color w:val="auto"/>
          <w:kern w:val="2"/>
          <w:sz w:val="24"/>
          <w:szCs w:val="24"/>
          <w:highlight w:val="none"/>
        </w:rPr>
        <w:t>6</w:t>
      </w:r>
      <w:r>
        <w:rPr>
          <w:rFonts w:hAnsi="宋体" w:cs="宋体"/>
          <w:color w:val="auto"/>
          <w:kern w:val="2"/>
          <w:sz w:val="24"/>
          <w:szCs w:val="24"/>
          <w:highlight w:val="none"/>
        </w:rPr>
        <w:t>.1</w:t>
      </w:r>
      <w:r>
        <w:rPr>
          <w:rFonts w:hint="eastAsia" w:hAnsi="宋体" w:cs="宋体"/>
          <w:color w:val="auto"/>
          <w:kern w:val="2"/>
          <w:sz w:val="24"/>
          <w:szCs w:val="24"/>
          <w:highlight w:val="none"/>
        </w:rPr>
        <w:t>申请人在</w:t>
      </w:r>
      <w:r>
        <w:rPr>
          <w:rFonts w:hAnsi="宋体" w:cs="宋体"/>
          <w:color w:val="auto"/>
          <w:kern w:val="2"/>
          <w:sz w:val="24"/>
          <w:szCs w:val="24"/>
          <w:highlight w:val="none"/>
        </w:rPr>
        <w:t>递交比选申请文件截止之</w:t>
      </w:r>
      <w:r>
        <w:rPr>
          <w:rFonts w:hint="eastAsia" w:hAnsi="宋体" w:cs="宋体"/>
          <w:color w:val="auto"/>
          <w:kern w:val="2"/>
          <w:sz w:val="24"/>
          <w:szCs w:val="24"/>
          <w:highlight w:val="none"/>
        </w:rPr>
        <w:t>时前（不含截止之时），应提交如下金额的比选申请保证金：</w:t>
      </w:r>
    </w:p>
    <w:p>
      <w:pPr>
        <w:pStyle w:val="22"/>
        <w:ind w:firstLine="630" w:firstLineChars="300"/>
        <w:rPr>
          <w:rFonts w:hAnsi="宋体" w:cs="宋体"/>
          <w:color w:val="auto"/>
          <w:kern w:val="2"/>
          <w:sz w:val="24"/>
          <w:szCs w:val="24"/>
          <w:highlight w:val="none"/>
        </w:rPr>
      </w:pPr>
      <w:r>
        <w:rPr>
          <w:rFonts w:hint="eastAsia" w:hAnsi="宋体" w:cs="宋体"/>
          <w:color w:val="auto"/>
          <w:szCs w:val="21"/>
          <w:highlight w:val="none"/>
          <w:lang w:bidi="ar"/>
        </w:rPr>
        <w:t>DMTSB</w:t>
      </w:r>
      <w:r>
        <w:rPr>
          <w:rFonts w:hint="eastAsia" w:hAnsi="宋体" w:cs="宋体"/>
          <w:color w:val="auto"/>
          <w:kern w:val="2"/>
          <w:sz w:val="24"/>
          <w:szCs w:val="24"/>
          <w:highlight w:val="none"/>
        </w:rPr>
        <w:t>标段：人民币</w:t>
      </w:r>
      <w:r>
        <w:rPr>
          <w:rFonts w:hint="eastAsia" w:hAnsi="宋体"/>
          <w:b/>
          <w:bCs/>
          <w:color w:val="auto"/>
          <w:sz w:val="22"/>
          <w:highlight w:val="none"/>
          <w:u w:val="single"/>
        </w:rPr>
        <w:t>伍仟元整</w:t>
      </w:r>
      <w:r>
        <w:rPr>
          <w:rFonts w:hint="eastAsia" w:hAnsi="宋体" w:cs="宋体"/>
          <w:color w:val="auto"/>
          <w:kern w:val="2"/>
          <w:sz w:val="24"/>
          <w:szCs w:val="24"/>
          <w:highlight w:val="none"/>
        </w:rPr>
        <w:t>；</w:t>
      </w:r>
    </w:p>
    <w:p>
      <w:pPr>
        <w:pStyle w:val="22"/>
        <w:ind w:firstLine="523" w:firstLineChars="218"/>
        <w:rPr>
          <w:rFonts w:hAnsi="宋体" w:cs="宋体"/>
          <w:color w:val="auto"/>
          <w:kern w:val="2"/>
          <w:sz w:val="24"/>
          <w:szCs w:val="24"/>
          <w:highlight w:val="none"/>
        </w:rPr>
      </w:pPr>
      <w:r>
        <w:rPr>
          <w:rFonts w:hint="eastAsia" w:hAnsi="宋体" w:cs="宋体"/>
          <w:color w:val="auto"/>
          <w:kern w:val="2"/>
          <w:sz w:val="24"/>
          <w:szCs w:val="24"/>
          <w:highlight w:val="none"/>
        </w:rPr>
        <w:t>6.2比选申请保证金的递交形式：现金转帐形式</w:t>
      </w:r>
    </w:p>
    <w:p>
      <w:pPr>
        <w:pStyle w:val="22"/>
        <w:ind w:firstLine="523" w:firstLineChars="218"/>
        <w:rPr>
          <w:rFonts w:hAnsi="宋体" w:cs="宋体"/>
          <w:color w:val="auto"/>
          <w:kern w:val="2"/>
          <w:sz w:val="24"/>
          <w:szCs w:val="24"/>
          <w:highlight w:val="none"/>
        </w:rPr>
      </w:pPr>
      <w:r>
        <w:rPr>
          <w:rFonts w:hint="eastAsia" w:hAnsi="宋体" w:cs="宋体"/>
          <w:color w:val="auto"/>
          <w:kern w:val="2"/>
          <w:sz w:val="24"/>
          <w:szCs w:val="24"/>
          <w:highlight w:val="none"/>
        </w:rPr>
        <w:t>比选申请保证金必须由比选申请人开立的公司银行账户一次性足额划入比选人的指定帐户，并注明所申请标段号。申请人的保证金必须在递交比选申请文件截止之时前（不含截止之时）到账。汇款凭证复印件应加盖比选申请人单位章并按要求装订在比选申请文件八、比选申请保证金中与比选申请文件一同递交。</w:t>
      </w:r>
    </w:p>
    <w:p>
      <w:pPr>
        <w:pStyle w:val="22"/>
        <w:ind w:firstLine="523" w:firstLineChars="218"/>
        <w:rPr>
          <w:rFonts w:hAnsi="宋体" w:cs="宋体"/>
          <w:color w:val="auto"/>
          <w:kern w:val="2"/>
          <w:sz w:val="24"/>
          <w:szCs w:val="24"/>
          <w:highlight w:val="none"/>
        </w:rPr>
      </w:pPr>
      <w:r>
        <w:rPr>
          <w:rFonts w:hint="eastAsia" w:hAnsi="宋体" w:cs="宋体"/>
          <w:color w:val="auto"/>
          <w:kern w:val="2"/>
          <w:sz w:val="24"/>
          <w:szCs w:val="24"/>
          <w:highlight w:val="none"/>
        </w:rPr>
        <w:t>比选人指定账户的账户名称、开户银行及账号如下：</w:t>
      </w:r>
    </w:p>
    <w:p>
      <w:pPr>
        <w:ind w:firstLine="422" w:firstLineChars="200"/>
        <w:rPr>
          <w:rFonts w:ascii="宋体" w:hAnsi="宋体" w:cs="宋体"/>
          <w:b/>
          <w:color w:val="auto"/>
          <w:szCs w:val="24"/>
          <w:highlight w:val="none"/>
        </w:rPr>
      </w:pPr>
      <w:r>
        <w:rPr>
          <w:rFonts w:hint="eastAsia" w:ascii="宋体" w:hAnsi="宋体" w:cs="宋体"/>
          <w:b/>
          <w:color w:val="auto"/>
          <w:szCs w:val="24"/>
          <w:highlight w:val="none"/>
        </w:rPr>
        <w:t>账户名称：四川智慧高速科技有限公司</w:t>
      </w:r>
    </w:p>
    <w:p>
      <w:pPr>
        <w:ind w:firstLine="422" w:firstLineChars="200"/>
        <w:rPr>
          <w:rFonts w:ascii="宋体" w:hAnsi="宋体" w:cs="宋体"/>
          <w:b/>
          <w:color w:val="auto"/>
          <w:szCs w:val="24"/>
          <w:highlight w:val="none"/>
        </w:rPr>
      </w:pPr>
      <w:r>
        <w:rPr>
          <w:rFonts w:hint="eastAsia" w:ascii="宋体" w:hAnsi="宋体" w:cs="宋体"/>
          <w:b/>
          <w:color w:val="auto"/>
          <w:szCs w:val="24"/>
          <w:highlight w:val="none"/>
        </w:rPr>
        <w:t>开 户 行：中国建设银行股份有限公司成都南郊支行</w:t>
      </w:r>
    </w:p>
    <w:p>
      <w:pPr>
        <w:ind w:firstLine="422" w:firstLineChars="200"/>
        <w:rPr>
          <w:rFonts w:ascii="宋体" w:hAnsi="宋体" w:cs="宋体"/>
          <w:b/>
          <w:color w:val="auto"/>
          <w:szCs w:val="24"/>
          <w:highlight w:val="none"/>
        </w:rPr>
      </w:pPr>
      <w:r>
        <w:rPr>
          <w:rFonts w:hint="eastAsia" w:ascii="宋体" w:hAnsi="宋体" w:cs="宋体"/>
          <w:b/>
          <w:color w:val="auto"/>
          <w:szCs w:val="24"/>
          <w:highlight w:val="none"/>
        </w:rPr>
        <w:t>账    号：5100 1875 1360 5036 5892 </w:t>
      </w:r>
    </w:p>
    <w:p>
      <w:pPr>
        <w:ind w:firstLine="480"/>
        <w:rPr>
          <w:rFonts w:ascii="宋体" w:hAnsi="宋体" w:cs="宋体"/>
          <w:b/>
          <w:color w:val="auto"/>
          <w:szCs w:val="24"/>
          <w:highlight w:val="none"/>
        </w:rPr>
      </w:pPr>
      <w:r>
        <w:rPr>
          <w:rFonts w:hint="eastAsia" w:ascii="宋体" w:hAnsi="宋体" w:cs="宋体"/>
          <w:b/>
          <w:color w:val="auto"/>
          <w:szCs w:val="24"/>
          <w:highlight w:val="none"/>
        </w:rPr>
        <w:t>联系电话：028-85525410</w:t>
      </w:r>
    </w:p>
    <w:p>
      <w:pPr>
        <w:pStyle w:val="2"/>
        <w:rPr>
          <w:color w:val="auto"/>
          <w:highlight w:val="none"/>
        </w:rPr>
      </w:pPr>
    </w:p>
    <w:p>
      <w:pPr>
        <w:pStyle w:val="5"/>
        <w:widowControl w:val="0"/>
        <w:spacing w:before="0" w:after="0" w:line="360" w:lineRule="auto"/>
        <w:ind w:left="0" w:firstLine="200"/>
        <w:jc w:val="both"/>
        <w:rPr>
          <w:rFonts w:ascii="宋体" w:hAnsi="宋体" w:eastAsia="宋体" w:cs="宋体"/>
          <w:bCs/>
          <w:color w:val="auto"/>
          <w:szCs w:val="32"/>
          <w:highlight w:val="none"/>
        </w:rPr>
      </w:pPr>
      <w:r>
        <w:rPr>
          <w:rFonts w:hint="eastAsia" w:ascii="宋体" w:hAnsi="宋体" w:eastAsia="宋体" w:cs="宋体"/>
          <w:bCs/>
          <w:color w:val="auto"/>
          <w:szCs w:val="32"/>
          <w:highlight w:val="none"/>
        </w:rPr>
        <w:t>7、比选申请文件的递交</w:t>
      </w:r>
    </w:p>
    <w:p>
      <w:pPr>
        <w:ind w:firstLine="420" w:firstLineChars="200"/>
        <w:jc w:val="both"/>
        <w:rPr>
          <w:rFonts w:ascii="宋体" w:hAnsi="宋体" w:cs="宋体"/>
          <w:color w:val="auto"/>
          <w:szCs w:val="24"/>
          <w:highlight w:val="none"/>
        </w:rPr>
      </w:pPr>
      <w:r>
        <w:rPr>
          <w:rFonts w:hint="eastAsia" w:ascii="宋体" w:hAnsi="宋体" w:cs="宋体"/>
          <w:color w:val="auto"/>
          <w:szCs w:val="24"/>
          <w:highlight w:val="none"/>
        </w:rPr>
        <w:t>7.1</w:t>
      </w:r>
      <w:r>
        <w:rPr>
          <w:rFonts w:hint="eastAsia" w:ascii="宋体" w:hAnsi="宋体" w:cs="宋体"/>
          <w:color w:val="auto"/>
          <w:spacing w:val="-3"/>
          <w:szCs w:val="24"/>
          <w:highlight w:val="none"/>
        </w:rPr>
        <w:t>比选申请文</w:t>
      </w:r>
      <w:r>
        <w:rPr>
          <w:rFonts w:hint="eastAsia" w:ascii="宋体" w:hAnsi="宋体" w:cs="宋体"/>
          <w:color w:val="auto"/>
          <w:szCs w:val="24"/>
          <w:highlight w:val="none"/>
        </w:rPr>
        <w:t>件</w:t>
      </w:r>
      <w:r>
        <w:rPr>
          <w:rFonts w:hint="eastAsia" w:ascii="宋体" w:hAnsi="宋体" w:cs="宋体"/>
          <w:color w:val="auto"/>
          <w:spacing w:val="-3"/>
          <w:szCs w:val="24"/>
          <w:highlight w:val="none"/>
        </w:rPr>
        <w:t>递</w:t>
      </w:r>
      <w:r>
        <w:rPr>
          <w:rFonts w:hint="eastAsia" w:ascii="宋体" w:hAnsi="宋体" w:cs="宋体"/>
          <w:color w:val="auto"/>
          <w:szCs w:val="24"/>
          <w:highlight w:val="none"/>
        </w:rPr>
        <w:t>交</w:t>
      </w:r>
      <w:r>
        <w:rPr>
          <w:rFonts w:hint="eastAsia" w:ascii="宋体" w:hAnsi="宋体" w:cs="宋体"/>
          <w:color w:val="auto"/>
          <w:spacing w:val="-3"/>
          <w:szCs w:val="24"/>
          <w:highlight w:val="none"/>
        </w:rPr>
        <w:t>的</w:t>
      </w:r>
      <w:r>
        <w:rPr>
          <w:rFonts w:hint="eastAsia" w:ascii="宋体" w:hAnsi="宋体" w:cs="宋体"/>
          <w:color w:val="auto"/>
          <w:szCs w:val="24"/>
          <w:highlight w:val="none"/>
        </w:rPr>
        <w:t>截止</w:t>
      </w:r>
      <w:r>
        <w:rPr>
          <w:rFonts w:hint="eastAsia" w:ascii="宋体" w:hAnsi="宋体" w:cs="宋体"/>
          <w:color w:val="auto"/>
          <w:spacing w:val="-3"/>
          <w:szCs w:val="24"/>
          <w:highlight w:val="none"/>
        </w:rPr>
        <w:t>时</w:t>
      </w:r>
      <w:r>
        <w:rPr>
          <w:rFonts w:hint="eastAsia" w:ascii="宋体" w:hAnsi="宋体" w:cs="宋体"/>
          <w:color w:val="auto"/>
          <w:szCs w:val="24"/>
          <w:highlight w:val="none"/>
        </w:rPr>
        <w:t>间（比选申请截</w:t>
      </w:r>
      <w:r>
        <w:rPr>
          <w:rFonts w:hint="eastAsia" w:ascii="宋体" w:hAnsi="宋体" w:cs="宋体"/>
          <w:color w:val="auto"/>
          <w:spacing w:val="-3"/>
          <w:szCs w:val="24"/>
          <w:highlight w:val="none"/>
        </w:rPr>
        <w:t>止</w:t>
      </w:r>
      <w:r>
        <w:rPr>
          <w:rFonts w:hint="eastAsia" w:ascii="宋体" w:hAnsi="宋体" w:cs="宋体"/>
          <w:color w:val="auto"/>
          <w:szCs w:val="24"/>
          <w:highlight w:val="none"/>
        </w:rPr>
        <w:t>时</w:t>
      </w:r>
      <w:r>
        <w:rPr>
          <w:rFonts w:hint="eastAsia" w:ascii="宋体" w:hAnsi="宋体" w:cs="宋体"/>
          <w:color w:val="auto"/>
          <w:spacing w:val="-3"/>
          <w:szCs w:val="24"/>
          <w:highlight w:val="none"/>
        </w:rPr>
        <w:t>间</w:t>
      </w:r>
      <w:r>
        <w:rPr>
          <w:rFonts w:hint="eastAsia" w:ascii="宋体" w:hAnsi="宋体" w:cs="宋体"/>
          <w:color w:val="auto"/>
          <w:szCs w:val="24"/>
          <w:highlight w:val="none"/>
        </w:rPr>
        <w:t>，下</w:t>
      </w:r>
      <w:r>
        <w:rPr>
          <w:rFonts w:hint="eastAsia" w:ascii="宋体" w:hAnsi="宋体" w:cs="宋体"/>
          <w:color w:val="auto"/>
          <w:spacing w:val="-3"/>
          <w:szCs w:val="24"/>
          <w:highlight w:val="none"/>
        </w:rPr>
        <w:t>同）为</w:t>
      </w:r>
      <w:r>
        <w:rPr>
          <w:rFonts w:hint="eastAsia" w:ascii="宋体" w:hAnsi="宋体" w:cs="宋体"/>
          <w:b/>
          <w:bCs/>
          <w:color w:val="auto"/>
          <w:spacing w:val="-3"/>
          <w:szCs w:val="24"/>
          <w:highlight w:val="none"/>
          <w:u w:val="single"/>
        </w:rPr>
        <w:t>2023年5月</w:t>
      </w:r>
      <w:r>
        <w:rPr>
          <w:rFonts w:hint="eastAsia" w:ascii="宋体" w:hAnsi="宋体" w:cs="宋体"/>
          <w:b/>
          <w:bCs/>
          <w:color w:val="auto"/>
          <w:spacing w:val="-3"/>
          <w:szCs w:val="24"/>
          <w:highlight w:val="none"/>
          <w:u w:val="single"/>
          <w:lang w:val="en-US" w:eastAsia="zh-CN"/>
        </w:rPr>
        <w:t>15</w:t>
      </w:r>
      <w:r>
        <w:rPr>
          <w:rFonts w:hint="eastAsia" w:ascii="宋体" w:hAnsi="宋体" w:cs="宋体"/>
          <w:b/>
          <w:bCs/>
          <w:color w:val="auto"/>
          <w:spacing w:val="-3"/>
          <w:szCs w:val="24"/>
          <w:highlight w:val="none"/>
          <w:u w:val="single"/>
        </w:rPr>
        <w:t>日10时30分</w:t>
      </w:r>
      <w:r>
        <w:rPr>
          <w:rFonts w:hint="eastAsia" w:ascii="宋体" w:hAnsi="宋体" w:cs="宋体"/>
          <w:b/>
          <w:bCs/>
          <w:color w:val="auto"/>
          <w:spacing w:val="-3"/>
          <w:szCs w:val="24"/>
          <w:highlight w:val="none"/>
        </w:rPr>
        <w:t>，</w:t>
      </w:r>
      <w:r>
        <w:rPr>
          <w:rFonts w:hint="eastAsia" w:ascii="宋体" w:hAnsi="宋体" w:cs="宋体"/>
          <w:color w:val="auto"/>
          <w:spacing w:val="-3"/>
          <w:szCs w:val="24"/>
          <w:highlight w:val="none"/>
        </w:rPr>
        <w:t>比选申请人</w:t>
      </w:r>
      <w:r>
        <w:rPr>
          <w:rFonts w:hint="eastAsia" w:ascii="宋体" w:hAnsi="宋体" w:cs="宋体"/>
          <w:color w:val="auto"/>
          <w:highlight w:val="none"/>
        </w:rPr>
        <w:t>应于当日</w:t>
      </w:r>
      <w:r>
        <w:rPr>
          <w:rFonts w:hint="eastAsia" w:ascii="宋体" w:hAnsi="宋体" w:cs="宋体"/>
          <w:color w:val="auto"/>
          <w:highlight w:val="none"/>
          <w:u w:val="single"/>
        </w:rPr>
        <w:t>10</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分至</w:t>
      </w:r>
      <w:r>
        <w:rPr>
          <w:rFonts w:hint="eastAsia" w:ascii="宋体" w:hAnsi="宋体" w:cs="宋体"/>
          <w:color w:val="auto"/>
          <w:highlight w:val="none"/>
          <w:u w:val="single"/>
        </w:rPr>
        <w:t>10</w:t>
      </w:r>
      <w:r>
        <w:rPr>
          <w:rFonts w:hint="eastAsia" w:ascii="宋体" w:hAnsi="宋体" w:cs="宋体"/>
          <w:color w:val="auto"/>
          <w:highlight w:val="none"/>
        </w:rPr>
        <w:t>时</w:t>
      </w:r>
      <w:r>
        <w:rPr>
          <w:rFonts w:hint="eastAsia" w:ascii="宋体" w:hAnsi="宋体" w:cs="宋体"/>
          <w:color w:val="auto"/>
          <w:highlight w:val="none"/>
          <w:u w:val="single"/>
        </w:rPr>
        <w:t>30</w:t>
      </w:r>
      <w:r>
        <w:rPr>
          <w:rFonts w:hint="eastAsia" w:ascii="宋体" w:hAnsi="宋体" w:cs="宋体"/>
          <w:color w:val="auto"/>
          <w:highlight w:val="none"/>
        </w:rPr>
        <w:t>分将</w:t>
      </w:r>
      <w:r>
        <w:rPr>
          <w:rFonts w:hint="eastAsia" w:ascii="宋体" w:hAnsi="宋体" w:cs="宋体"/>
          <w:color w:val="auto"/>
          <w:spacing w:val="-3"/>
          <w:szCs w:val="24"/>
          <w:highlight w:val="none"/>
        </w:rPr>
        <w:t>比选申请文件当面递交至以下地址</w:t>
      </w:r>
      <w:r>
        <w:rPr>
          <w:rFonts w:hint="eastAsia" w:ascii="宋体" w:hAnsi="宋体" w:cs="宋体"/>
          <w:b/>
          <w:bCs/>
          <w:color w:val="auto"/>
          <w:spacing w:val="-3"/>
          <w:szCs w:val="24"/>
          <w:highlight w:val="none"/>
        </w:rPr>
        <w:t>：</w:t>
      </w:r>
      <w:r>
        <w:rPr>
          <w:rFonts w:hint="eastAsia" w:ascii="宋体" w:hAnsi="宋体" w:cs="宋体"/>
          <w:color w:val="auto"/>
          <w:szCs w:val="24"/>
          <w:highlight w:val="none"/>
          <w:u w:val="single"/>
        </w:rPr>
        <w:t>成都市高新区天府二街萃华路89号成都国际科技节能大厦A座10楼技术设计部</w:t>
      </w:r>
      <w:r>
        <w:rPr>
          <w:rFonts w:hint="eastAsia" w:ascii="宋体" w:hAnsi="宋体" w:cs="宋体"/>
          <w:color w:val="auto"/>
          <w:szCs w:val="24"/>
          <w:highlight w:val="none"/>
        </w:rPr>
        <w:t>。</w:t>
      </w:r>
    </w:p>
    <w:p>
      <w:pPr>
        <w:pStyle w:val="19"/>
        <w:spacing w:after="0"/>
        <w:ind w:firstLine="420" w:firstLineChars="200"/>
        <w:jc w:val="both"/>
        <w:rPr>
          <w:rFonts w:ascii="宋体" w:hAnsi="宋体" w:cs="宋体"/>
          <w:color w:val="auto"/>
          <w:spacing w:val="-5"/>
          <w:szCs w:val="24"/>
          <w:highlight w:val="none"/>
        </w:rPr>
      </w:pPr>
      <w:r>
        <w:rPr>
          <w:rFonts w:hint="eastAsia" w:ascii="宋体" w:hAnsi="宋体" w:cs="宋体"/>
          <w:color w:val="auto"/>
          <w:szCs w:val="24"/>
          <w:highlight w:val="none"/>
        </w:rPr>
        <w:t>7.2</w:t>
      </w:r>
      <w:r>
        <w:rPr>
          <w:rFonts w:hint="eastAsia" w:ascii="宋体" w:hAnsi="宋体" w:cs="宋体"/>
          <w:color w:val="auto"/>
          <w:spacing w:val="-7"/>
          <w:szCs w:val="24"/>
          <w:highlight w:val="none"/>
        </w:rPr>
        <w:t>逾期送达、未送达指定地点的或者不按照比选文件要求密封的比选申请文件，比选人</w:t>
      </w:r>
      <w:r>
        <w:rPr>
          <w:rFonts w:hint="eastAsia" w:ascii="宋体" w:hAnsi="宋体" w:cs="宋体"/>
          <w:color w:val="auto"/>
          <w:spacing w:val="-5"/>
          <w:szCs w:val="24"/>
          <w:highlight w:val="none"/>
        </w:rPr>
        <w:t>将予以拒收。</w:t>
      </w:r>
    </w:p>
    <w:p>
      <w:pPr>
        <w:pStyle w:val="5"/>
        <w:widowControl w:val="0"/>
        <w:spacing w:before="0" w:after="0" w:line="360" w:lineRule="auto"/>
        <w:ind w:left="0" w:firstLine="200"/>
        <w:jc w:val="both"/>
        <w:rPr>
          <w:rFonts w:ascii="宋体" w:hAnsi="宋体" w:eastAsia="宋体" w:cs="宋体"/>
          <w:bCs/>
          <w:color w:val="auto"/>
          <w:szCs w:val="32"/>
          <w:highlight w:val="none"/>
        </w:rPr>
      </w:pPr>
      <w:r>
        <w:rPr>
          <w:rFonts w:hint="eastAsia" w:ascii="宋体" w:hAnsi="宋体" w:eastAsia="宋体" w:cs="宋体"/>
          <w:bCs/>
          <w:color w:val="auto"/>
          <w:szCs w:val="32"/>
          <w:highlight w:val="none"/>
        </w:rPr>
        <w:t>8、联系方式</w:t>
      </w:r>
    </w:p>
    <w:bookmarkEnd w:id="0"/>
    <w:bookmarkEnd w:id="1"/>
    <w:bookmarkEnd w:id="2"/>
    <w:p>
      <w:pPr>
        <w:tabs>
          <w:tab w:val="left" w:pos="360"/>
        </w:tabs>
        <w:jc w:val="both"/>
        <w:rPr>
          <w:rFonts w:ascii="宋体" w:hAnsi="宋体" w:cs="宋体"/>
          <w:color w:val="auto"/>
          <w:highlight w:val="none"/>
        </w:rPr>
      </w:pPr>
      <w:bookmarkStart w:id="6" w:name="_Toc352691456"/>
      <w:bookmarkEnd w:id="6"/>
      <w:bookmarkStart w:id="7" w:name="_Toc152042289"/>
      <w:bookmarkEnd w:id="7"/>
      <w:bookmarkStart w:id="8" w:name="_Toc247513934"/>
      <w:bookmarkEnd w:id="8"/>
      <w:bookmarkStart w:id="9" w:name="_Toc247527535"/>
      <w:bookmarkEnd w:id="9"/>
      <w:bookmarkStart w:id="10" w:name="_Toc152045512"/>
      <w:bookmarkEnd w:id="10"/>
      <w:bookmarkStart w:id="11" w:name="_Toc361508563"/>
      <w:bookmarkEnd w:id="11"/>
      <w:bookmarkStart w:id="12" w:name="_Toc369531495"/>
      <w:bookmarkEnd w:id="12"/>
      <w:bookmarkStart w:id="13" w:name="_Toc247527536"/>
      <w:bookmarkEnd w:id="13"/>
      <w:bookmarkStart w:id="14" w:name="_Toc10785"/>
      <w:bookmarkEnd w:id="14"/>
      <w:bookmarkStart w:id="15" w:name="_Toc384308187"/>
      <w:bookmarkEnd w:id="15"/>
      <w:bookmarkStart w:id="16" w:name="_Toc369531498"/>
      <w:bookmarkEnd w:id="16"/>
      <w:bookmarkStart w:id="17" w:name="_Toc152042288"/>
      <w:bookmarkEnd w:id="17"/>
      <w:bookmarkStart w:id="18" w:name="_Toc384308185"/>
      <w:bookmarkEnd w:id="18"/>
      <w:bookmarkStart w:id="19" w:name="_Toc352691453"/>
      <w:bookmarkEnd w:id="19"/>
      <w:bookmarkStart w:id="20" w:name="_Toc144974480"/>
      <w:bookmarkEnd w:id="20"/>
      <w:bookmarkStart w:id="21" w:name="_Toc144974481"/>
      <w:bookmarkEnd w:id="21"/>
      <w:bookmarkStart w:id="22" w:name="_Toc369531497"/>
      <w:bookmarkEnd w:id="22"/>
      <w:bookmarkStart w:id="23" w:name="_Toc247513935"/>
      <w:bookmarkEnd w:id="23"/>
      <w:bookmarkStart w:id="24" w:name="_Toc300834929"/>
      <w:bookmarkEnd w:id="24"/>
      <w:bookmarkStart w:id="25" w:name="_Toc30817"/>
      <w:bookmarkEnd w:id="25"/>
      <w:bookmarkStart w:id="26" w:name="_Toc152045513"/>
      <w:bookmarkEnd w:id="26"/>
      <w:bookmarkStart w:id="27" w:name="_Toc300834930"/>
      <w:bookmarkEnd w:id="27"/>
      <w:bookmarkStart w:id="28" w:name="_Toc361508562"/>
      <w:bookmarkEnd w:id="28"/>
      <w:bookmarkStart w:id="29" w:name="_Toc17972"/>
      <w:bookmarkEnd w:id="29"/>
      <w:bookmarkStart w:id="30" w:name="_Toc384308188"/>
      <w:bookmarkEnd w:id="30"/>
      <w:bookmarkStart w:id="31" w:name="_Toc352691455"/>
      <w:bookmarkEnd w:id="31"/>
      <w:bookmarkStart w:id="32" w:name="_Toc361508560"/>
      <w:bookmarkEnd w:id="32"/>
      <w:bookmarkStart w:id="33" w:name="_Toc300834927"/>
      <w:bookmarkEnd w:id="33"/>
      <w:r>
        <w:rPr>
          <w:rFonts w:hint="eastAsia" w:ascii="宋体" w:hAnsi="宋体" w:cs="宋体"/>
          <w:color w:val="auto"/>
          <w:highlight w:val="none"/>
        </w:rPr>
        <w:t>比 选 人： 四川智慧高速科技有限公司</w:t>
      </w:r>
    </w:p>
    <w:p>
      <w:pPr>
        <w:tabs>
          <w:tab w:val="left" w:pos="360"/>
        </w:tabs>
        <w:jc w:val="both"/>
        <w:rPr>
          <w:rFonts w:ascii="宋体" w:hAnsi="宋体" w:cs="宋体"/>
          <w:color w:val="auto"/>
          <w:highlight w:val="none"/>
        </w:rPr>
      </w:pPr>
      <w:r>
        <w:rPr>
          <w:rFonts w:hint="eastAsia" w:ascii="宋体" w:hAnsi="宋体" w:cs="宋体"/>
          <w:color w:val="auto"/>
          <w:highlight w:val="none"/>
        </w:rPr>
        <w:t xml:space="preserve">地    址： 成都市高新区天府二街萃华路89号成都国际科技节能大厦A座10楼 </w:t>
      </w:r>
    </w:p>
    <w:p>
      <w:pPr>
        <w:tabs>
          <w:tab w:val="left" w:pos="360"/>
        </w:tabs>
        <w:jc w:val="both"/>
        <w:rPr>
          <w:rFonts w:ascii="宋体" w:hAnsi="宋体" w:cs="宋体"/>
          <w:color w:val="auto"/>
          <w:highlight w:val="none"/>
        </w:rPr>
      </w:pPr>
      <w:r>
        <w:rPr>
          <w:rFonts w:hint="eastAsia" w:ascii="宋体" w:hAnsi="宋体" w:cs="宋体"/>
          <w:color w:val="auto"/>
          <w:highlight w:val="none"/>
        </w:rPr>
        <w:t>邮    编： 610041</w:t>
      </w:r>
    </w:p>
    <w:p>
      <w:pPr>
        <w:tabs>
          <w:tab w:val="left" w:pos="360"/>
        </w:tabs>
        <w:jc w:val="both"/>
        <w:rPr>
          <w:rFonts w:ascii="宋体" w:hAnsi="宋体" w:cs="宋体"/>
          <w:color w:val="auto"/>
          <w:highlight w:val="none"/>
        </w:rPr>
      </w:pPr>
      <w:r>
        <w:rPr>
          <w:rFonts w:hint="eastAsia" w:ascii="宋体" w:hAnsi="宋体" w:cs="宋体"/>
          <w:color w:val="auto"/>
          <w:highlight w:val="none"/>
        </w:rPr>
        <w:t>联 系 人： 周先生、封女士</w:t>
      </w:r>
    </w:p>
    <w:p>
      <w:pPr>
        <w:tabs>
          <w:tab w:val="left" w:pos="360"/>
        </w:tabs>
        <w:jc w:val="both"/>
        <w:rPr>
          <w:rFonts w:ascii="宋体" w:hAnsi="宋体" w:cs="宋体"/>
          <w:color w:val="auto"/>
          <w:highlight w:val="none"/>
        </w:rPr>
      </w:pPr>
      <w:r>
        <w:rPr>
          <w:rFonts w:hint="eastAsia" w:ascii="宋体" w:hAnsi="宋体" w:cs="宋体"/>
          <w:color w:val="auto"/>
          <w:highlight w:val="none"/>
        </w:rPr>
        <w:t>电    话： 028-61107713</w:t>
      </w:r>
    </w:p>
    <w:p>
      <w:pPr>
        <w:tabs>
          <w:tab w:val="left" w:pos="360"/>
        </w:tabs>
        <w:jc w:val="both"/>
        <w:rPr>
          <w:rFonts w:ascii="宋体" w:hAnsi="宋体" w:cs="宋体"/>
          <w:color w:val="auto"/>
          <w:highlight w:val="none"/>
        </w:rPr>
      </w:pPr>
      <w:r>
        <w:rPr>
          <w:rFonts w:hint="eastAsia" w:ascii="宋体" w:hAnsi="宋体" w:cs="宋体"/>
          <w:color w:val="auto"/>
          <w:highlight w:val="none"/>
        </w:rPr>
        <w:t>传    真： 028-85527031</w:t>
      </w:r>
    </w:p>
    <w:p>
      <w:pPr>
        <w:tabs>
          <w:tab w:val="left" w:pos="360"/>
        </w:tabs>
        <w:jc w:val="right"/>
        <w:rPr>
          <w:rFonts w:ascii="宋体" w:hAnsi="宋体" w:cs="宋体"/>
          <w:color w:val="auto"/>
          <w:highlight w:val="none"/>
        </w:rPr>
      </w:pPr>
      <w:r>
        <w:rPr>
          <w:rFonts w:hint="eastAsia" w:ascii="宋体" w:hAnsi="宋体" w:cs="宋体"/>
          <w:color w:val="auto"/>
          <w:highlight w:val="none"/>
        </w:rPr>
        <w:t>2023年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9</w:t>
      </w:r>
      <w:r>
        <w:rPr>
          <w:rFonts w:hint="eastAsia" w:ascii="宋体" w:hAnsi="宋体" w:cs="宋体"/>
          <w:color w:val="auto"/>
          <w:highlight w:val="none"/>
        </w:rPr>
        <w:t>日</w:t>
      </w:r>
    </w:p>
    <w:p>
      <w:pPr>
        <w:spacing w:before="168"/>
        <w:ind w:right="57" w:firstLine="560"/>
        <w:jc w:val="center"/>
        <w:rPr>
          <w:rFonts w:ascii="宋体" w:hAnsi="宋体" w:cs="宋体"/>
          <w:color w:val="auto"/>
          <w:highlight w:val="none"/>
        </w:rPr>
      </w:pPr>
      <w:r>
        <w:rPr>
          <w:rFonts w:hint="eastAsia" w:ascii="宋体" w:hAnsi="宋体" w:cs="宋体"/>
          <w:color w:val="auto"/>
          <w:highlight w:val="none"/>
        </w:rPr>
        <w:br w:type="page"/>
      </w:r>
    </w:p>
    <w:p>
      <w:pPr>
        <w:pStyle w:val="4"/>
        <w:spacing w:before="0"/>
        <w:jc w:val="center"/>
        <w:rPr>
          <w:rFonts w:ascii="宋体" w:hAnsi="宋体" w:eastAsia="宋体" w:cs="宋体"/>
          <w:b/>
          <w:bCs/>
          <w:color w:val="auto"/>
          <w:sz w:val="36"/>
          <w:szCs w:val="36"/>
          <w:highlight w:val="none"/>
        </w:rPr>
      </w:pPr>
      <w:bookmarkStart w:id="34" w:name="_Toc24880"/>
      <w:bookmarkStart w:id="35" w:name="_Toc30858"/>
      <w:r>
        <w:rPr>
          <w:rFonts w:hint="eastAsia" w:ascii="宋体" w:hAnsi="宋体" w:eastAsia="宋体" w:cs="宋体"/>
          <w:b/>
          <w:bCs/>
          <w:color w:val="auto"/>
          <w:sz w:val="36"/>
          <w:szCs w:val="36"/>
          <w:highlight w:val="none"/>
        </w:rPr>
        <w:t>第二章 比选申请人须知</w:t>
      </w:r>
      <w:bookmarkEnd w:id="34"/>
      <w:bookmarkEnd w:id="35"/>
    </w:p>
    <w:p>
      <w:pPr>
        <w:pStyle w:val="5"/>
        <w:spacing w:before="0" w:after="0" w:line="360" w:lineRule="auto"/>
        <w:rPr>
          <w:rFonts w:ascii="宋体" w:hAnsi="宋体" w:eastAsia="宋体" w:cs="宋体"/>
          <w:color w:val="auto"/>
          <w:highlight w:val="none"/>
        </w:rPr>
      </w:pPr>
      <w:r>
        <w:rPr>
          <w:rFonts w:hint="eastAsia" w:ascii="宋体" w:hAnsi="宋体" w:eastAsia="宋体" w:cs="宋体"/>
          <w:color w:val="auto"/>
          <w:highlight w:val="none"/>
        </w:rPr>
        <w:t>比选申请人须知前附表</w:t>
      </w:r>
    </w:p>
    <w:p>
      <w:pPr>
        <w:ind w:firstLine="480"/>
        <w:rPr>
          <w:rFonts w:ascii="宋体" w:hAnsi="宋体" w:cs="宋体"/>
          <w:color w:val="auto"/>
          <w:szCs w:val="21"/>
          <w:highlight w:val="none"/>
        </w:rPr>
      </w:pPr>
      <w:r>
        <w:rPr>
          <w:rFonts w:hint="eastAsia" w:ascii="宋体" w:hAnsi="宋体" w:cs="宋体"/>
          <w:color w:val="auto"/>
          <w:szCs w:val="21"/>
          <w:highlight w:val="none"/>
        </w:rPr>
        <w:t>《比选申请人须知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37"/>
        <w:tblW w:w="9322" w:type="dxa"/>
        <w:tblInd w:w="0" w:type="dxa"/>
        <w:tblLayout w:type="fixed"/>
        <w:tblCellMar>
          <w:top w:w="0" w:type="dxa"/>
          <w:left w:w="108" w:type="dxa"/>
          <w:bottom w:w="0" w:type="dxa"/>
          <w:right w:w="108" w:type="dxa"/>
        </w:tblCellMar>
      </w:tblPr>
      <w:tblGrid>
        <w:gridCol w:w="1165"/>
        <w:gridCol w:w="3905"/>
        <w:gridCol w:w="4252"/>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highlight w:val="none"/>
              </w:rPr>
            </w:pPr>
            <w:r>
              <w:rPr>
                <w:rFonts w:hint="eastAsia" w:ascii="宋体" w:hAnsi="宋体" w:cs="宋体"/>
                <w:b/>
                <w:color w:val="auto"/>
                <w:highlight w:val="none"/>
              </w:rPr>
              <w:t>条款号</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highlight w:val="none"/>
              </w:rPr>
            </w:pPr>
            <w:r>
              <w:rPr>
                <w:rFonts w:hint="eastAsia" w:ascii="宋体" w:hAnsi="宋体" w:cs="宋体"/>
                <w:b/>
                <w:color w:val="auto"/>
                <w:highlight w:val="none"/>
              </w:rPr>
              <w:t>条款名称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highlight w:val="none"/>
              </w:rPr>
            </w:pPr>
            <w:r>
              <w:rPr>
                <w:rFonts w:hint="eastAsia" w:ascii="宋体" w:hAnsi="宋体" w:cs="宋体"/>
                <w:b/>
                <w:color w:val="auto"/>
                <w:highlight w:val="none"/>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1.1.2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比选人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highlight w:val="none"/>
              </w:rPr>
            </w:pPr>
            <w:r>
              <w:rPr>
                <w:rFonts w:hint="eastAsia" w:ascii="宋体" w:hAnsi="宋体" w:cs="宋体"/>
                <w:color w:val="auto"/>
                <w:szCs w:val="21"/>
                <w:highlight w:val="none"/>
              </w:rPr>
              <w:t>名  称：四川智慧高速科技有限公司</w:t>
            </w:r>
          </w:p>
          <w:p>
            <w:pPr>
              <w:spacing w:line="240" w:lineRule="auto"/>
              <w:rPr>
                <w:rFonts w:ascii="宋体" w:hAnsi="宋体" w:cs="宋体"/>
                <w:color w:val="auto"/>
                <w:szCs w:val="21"/>
                <w:highlight w:val="none"/>
              </w:rPr>
            </w:pPr>
            <w:r>
              <w:rPr>
                <w:rFonts w:hint="eastAsia" w:ascii="宋体" w:hAnsi="宋体" w:cs="宋体"/>
                <w:color w:val="auto"/>
                <w:szCs w:val="21"/>
                <w:highlight w:val="none"/>
              </w:rPr>
              <w:t>地  址：成都市高新区天府二街萃华路89号成都国际科技节能大厦A座10楼</w:t>
            </w:r>
          </w:p>
          <w:p>
            <w:pPr>
              <w:spacing w:line="240" w:lineRule="auto"/>
              <w:rPr>
                <w:rFonts w:ascii="宋体" w:hAnsi="宋体" w:cs="宋体"/>
                <w:color w:val="auto"/>
                <w:szCs w:val="21"/>
                <w:highlight w:val="none"/>
              </w:rPr>
            </w:pPr>
            <w:r>
              <w:rPr>
                <w:rFonts w:hint="eastAsia" w:ascii="宋体" w:hAnsi="宋体" w:cs="宋体"/>
                <w:color w:val="auto"/>
                <w:szCs w:val="21"/>
                <w:highlight w:val="none"/>
              </w:rPr>
              <w:t>联系人：周先生、封女士</w:t>
            </w:r>
          </w:p>
          <w:p>
            <w:pPr>
              <w:spacing w:line="240" w:lineRule="auto"/>
              <w:rPr>
                <w:rFonts w:ascii="宋体" w:hAnsi="宋体" w:cs="宋体"/>
                <w:color w:val="auto"/>
                <w:szCs w:val="21"/>
                <w:highlight w:val="none"/>
              </w:rPr>
            </w:pPr>
            <w:r>
              <w:rPr>
                <w:rFonts w:hint="eastAsia" w:ascii="宋体" w:hAnsi="宋体" w:cs="宋体"/>
                <w:color w:val="auto"/>
                <w:szCs w:val="21"/>
                <w:highlight w:val="none"/>
              </w:rPr>
              <w:t>电  话：028-61107713</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1.1.3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比选代理机构</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rPr>
              <w:t>/</w:t>
            </w:r>
          </w:p>
        </w:tc>
      </w:tr>
      <w:tr>
        <w:tblPrEx>
          <w:tblCellMar>
            <w:top w:w="0" w:type="dxa"/>
            <w:left w:w="108" w:type="dxa"/>
            <w:bottom w:w="0" w:type="dxa"/>
            <w:right w:w="108" w:type="dxa"/>
          </w:tblCellMar>
        </w:tblPrEx>
        <w:trPr>
          <w:trHeight w:val="68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1.1.4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rPr>
              <w:t>比选项目名称</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标段号</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olor w:val="auto"/>
                <w:highlight w:val="none"/>
                <w:lang w:eastAsia="zh-CN"/>
              </w:rPr>
            </w:pPr>
            <w:r>
              <w:rPr>
                <w:rFonts w:hint="eastAsia" w:ascii="宋体" w:hAnsi="宋体" w:cs="宋体"/>
                <w:color w:val="auto"/>
                <w:szCs w:val="21"/>
                <w:highlight w:val="none"/>
              </w:rPr>
              <w:t>四川智慧高速科技有限公司</w:t>
            </w:r>
            <w:r>
              <w:rPr>
                <w:rFonts w:hint="eastAsia" w:ascii="宋体" w:hAnsi="宋体"/>
                <w:color w:val="auto"/>
                <w:highlight w:val="none"/>
              </w:rPr>
              <w:t>多媒体会议室设备采购</w:t>
            </w:r>
            <w:r>
              <w:rPr>
                <w:rFonts w:hint="eastAsia" w:ascii="宋体" w:hAnsi="宋体"/>
                <w:color w:val="auto"/>
                <w:highlight w:val="none"/>
                <w:lang w:eastAsia="zh-CN"/>
              </w:rPr>
              <w:t>（</w:t>
            </w:r>
            <w:r>
              <w:rPr>
                <w:rFonts w:hint="eastAsia" w:ascii="宋体" w:hAnsi="宋体"/>
                <w:color w:val="auto"/>
                <w:highlight w:val="none"/>
                <w:lang w:val="en-US" w:eastAsia="zh-CN"/>
              </w:rPr>
              <w:t>第二次</w:t>
            </w:r>
            <w:r>
              <w:rPr>
                <w:rFonts w:hint="eastAsia" w:ascii="宋体" w:hAnsi="宋体"/>
                <w:color w:val="auto"/>
                <w:highlight w:val="none"/>
                <w:lang w:eastAsia="zh-CN"/>
              </w:rPr>
              <w:t>）</w:t>
            </w:r>
          </w:p>
          <w:p>
            <w:pPr>
              <w:spacing w:line="240" w:lineRule="auto"/>
              <w:rPr>
                <w:rFonts w:ascii="宋体" w:hAnsi="宋体" w:cs="宋体"/>
                <w:color w:val="auto"/>
                <w:highlight w:val="none"/>
              </w:rPr>
            </w:pPr>
            <w:r>
              <w:rPr>
                <w:rFonts w:hint="eastAsia" w:ascii="宋体" w:hAnsi="宋体" w:cs="宋体"/>
                <w:color w:val="auto"/>
                <w:highlight w:val="none"/>
              </w:rPr>
              <w:t>标段号：DMTSB</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资金来源及比例</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highlight w:val="none"/>
              </w:rPr>
            </w:pPr>
            <w:r>
              <w:rPr>
                <w:rFonts w:hint="eastAsia" w:ascii="宋体" w:hAnsi="宋体" w:cs="宋体"/>
                <w:color w:val="auto"/>
                <w:highlight w:val="none"/>
              </w:rPr>
              <w:t>比选人自筹，资金100%</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1.2.2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资金落实情况</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rPr>
              <w:t>已落实</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比选范围</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rPr>
              <w:t>见比选公告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1.3.2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供货期</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rPr>
              <w:t>供货期：</w:t>
            </w:r>
            <w:r>
              <w:rPr>
                <w:rFonts w:hint="eastAsia" w:ascii="宋体" w:hAnsi="宋体" w:cs="宋体"/>
                <w:color w:val="auto"/>
                <w:szCs w:val="24"/>
                <w:highlight w:val="none"/>
              </w:rPr>
              <w:t>供货周期1个月</w:t>
            </w:r>
            <w:r>
              <w:rPr>
                <w:rFonts w:hint="eastAsia" w:ascii="宋体" w:hAnsi="宋体" w:cs="宋体"/>
                <w:color w:val="auto"/>
                <w:highlight w:val="none"/>
              </w:rPr>
              <w:t>。</w:t>
            </w:r>
          </w:p>
          <w:p>
            <w:pPr>
              <w:spacing w:line="240" w:lineRule="auto"/>
              <w:rPr>
                <w:rFonts w:ascii="宋体" w:hAnsi="宋体" w:cs="宋体"/>
                <w:color w:val="auto"/>
                <w:szCs w:val="24"/>
                <w:highlight w:val="none"/>
              </w:rPr>
            </w:pPr>
            <w:r>
              <w:rPr>
                <w:rFonts w:hint="eastAsia" w:ascii="宋体" w:hAnsi="宋体" w:cs="宋体"/>
                <w:color w:val="auto"/>
                <w:highlight w:val="none"/>
              </w:rPr>
              <w:t>试运行：6个月，质保期：36个月。</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1.3.3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交货地点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auto"/>
                <w:highlight w:val="none"/>
                <w:lang w:val="en-US" w:eastAsia="zh-CN"/>
              </w:rPr>
            </w:pPr>
            <w:r>
              <w:rPr>
                <w:rFonts w:hint="eastAsia" w:ascii="宋体" w:hAnsi="宋体" w:cs="宋体"/>
                <w:color w:val="auto"/>
                <w:highlight w:val="none"/>
              </w:rPr>
              <w:t>成都市武侯区中海国际中心C座</w:t>
            </w:r>
            <w:r>
              <w:rPr>
                <w:rFonts w:hint="eastAsia" w:ascii="宋体" w:hAnsi="宋体" w:cs="宋体"/>
                <w:color w:val="auto"/>
                <w:highlight w:val="none"/>
                <w:lang w:val="en-US" w:eastAsia="zh-CN"/>
              </w:rPr>
              <w:t>7楼</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1.3.4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技术性能指标</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rPr>
              <w:t>见供货要求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1.4.1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比选申请人资质条件、能力、信誉</w:t>
            </w:r>
          </w:p>
        </w:tc>
        <w:tc>
          <w:tcPr>
            <w:tcW w:w="425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uto"/>
              <w:rPr>
                <w:rFonts w:ascii="宋体" w:hAnsi="宋体" w:cs="宋体"/>
                <w:color w:val="auto"/>
                <w:highlight w:val="none"/>
              </w:rPr>
            </w:pPr>
            <w:r>
              <w:rPr>
                <w:rFonts w:hint="eastAsia" w:ascii="宋体" w:hAnsi="宋体" w:cs="宋体"/>
                <w:color w:val="auto"/>
                <w:highlight w:val="none"/>
              </w:rPr>
              <w:t>资质要求：见附录1</w:t>
            </w:r>
          </w:p>
          <w:p>
            <w:pPr>
              <w:spacing w:line="240" w:lineRule="auto"/>
              <w:rPr>
                <w:rFonts w:ascii="宋体" w:hAnsi="宋体" w:cs="宋体"/>
                <w:color w:val="auto"/>
                <w:highlight w:val="none"/>
              </w:rPr>
            </w:pPr>
            <w:r>
              <w:rPr>
                <w:rFonts w:hint="eastAsia" w:ascii="宋体" w:hAnsi="宋体" w:cs="宋体"/>
                <w:color w:val="auto"/>
                <w:highlight w:val="none"/>
              </w:rPr>
              <w:t>（2）财务要求：见附录2</w:t>
            </w:r>
          </w:p>
          <w:p>
            <w:pPr>
              <w:spacing w:line="240" w:lineRule="auto"/>
              <w:rPr>
                <w:rFonts w:ascii="宋体" w:hAnsi="宋体" w:cs="宋体"/>
                <w:color w:val="auto"/>
                <w:highlight w:val="none"/>
              </w:rPr>
            </w:pPr>
            <w:r>
              <w:rPr>
                <w:rFonts w:hint="eastAsia" w:ascii="宋体" w:hAnsi="宋体" w:cs="宋体"/>
                <w:color w:val="auto"/>
                <w:highlight w:val="none"/>
              </w:rPr>
              <w:t>（3）业绩要求：见附录3</w:t>
            </w:r>
          </w:p>
          <w:p>
            <w:pPr>
              <w:spacing w:line="240" w:lineRule="auto"/>
              <w:rPr>
                <w:rFonts w:ascii="宋体" w:hAnsi="宋体" w:cs="宋体"/>
                <w:color w:val="auto"/>
                <w:highlight w:val="none"/>
              </w:rPr>
            </w:pPr>
            <w:r>
              <w:rPr>
                <w:rFonts w:hint="eastAsia" w:ascii="宋体" w:hAnsi="宋体" w:cs="宋体"/>
                <w:color w:val="auto"/>
                <w:highlight w:val="none"/>
              </w:rPr>
              <w:t>（4）信誉要求：见附录4</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1.4.2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是否接受联合体比选申请</w:t>
            </w:r>
          </w:p>
        </w:tc>
        <w:tc>
          <w:tcPr>
            <w:tcW w:w="4252" w:type="dxa"/>
            <w:tcBorders>
              <w:top w:val="single" w:color="auto" w:sz="4" w:space="0"/>
              <w:left w:val="single" w:color="auto" w:sz="4" w:space="0"/>
              <w:bottom w:val="single" w:color="auto" w:sz="4" w:space="0"/>
              <w:right w:val="single" w:color="auto" w:sz="4" w:space="0"/>
            </w:tcBorders>
            <w:vAlign w:val="center"/>
          </w:tcPr>
          <w:p>
            <w:pPr>
              <w:topLinePunct/>
              <w:spacing w:line="240" w:lineRule="auto"/>
              <w:rPr>
                <w:rFonts w:ascii="宋体" w:hAnsi="宋体" w:cs="宋体"/>
                <w:color w:val="auto"/>
                <w:highlight w:val="none"/>
              </w:rPr>
            </w:pPr>
            <w:r>
              <w:rPr>
                <w:rFonts w:hint="eastAsia" w:ascii="宋体" w:hAnsi="宋体" w:cs="宋体"/>
                <w:color w:val="auto"/>
                <w:highlight w:val="none"/>
              </w:rPr>
              <w:t>不接受</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1.4.3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szCs w:val="21"/>
                <w:highlight w:val="none"/>
              </w:rPr>
              <w:t>比选申请人不得存在的其他情形</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宋体" w:hAnsi="宋体" w:cs="宋体"/>
                <w:color w:val="auto"/>
                <w:szCs w:val="21"/>
                <w:highlight w:val="none"/>
              </w:rPr>
            </w:pPr>
            <w:r>
              <w:rPr>
                <w:rFonts w:hint="eastAsia" w:ascii="宋体" w:hAnsi="宋体" w:cs="宋体"/>
                <w:color w:val="auto"/>
                <w:szCs w:val="21"/>
                <w:highlight w:val="none"/>
              </w:rPr>
              <w:t>见比选申请人须知正文1.4.3</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1.9.1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比选申请预备会</w:t>
            </w:r>
          </w:p>
        </w:tc>
        <w:tc>
          <w:tcPr>
            <w:tcW w:w="4252" w:type="dxa"/>
            <w:tcBorders>
              <w:top w:val="single" w:color="auto" w:sz="4" w:space="0"/>
              <w:left w:val="single" w:color="auto" w:sz="4" w:space="0"/>
              <w:bottom w:val="single" w:color="auto" w:sz="4" w:space="0"/>
              <w:right w:val="single" w:color="auto" w:sz="4" w:space="0"/>
            </w:tcBorders>
            <w:vAlign w:val="center"/>
          </w:tcPr>
          <w:p>
            <w:pPr>
              <w:pStyle w:val="18"/>
              <w:topLinePunct/>
              <w:spacing w:line="240" w:lineRule="auto"/>
              <w:rPr>
                <w:rFonts w:hAnsi="宋体" w:cs="宋体"/>
                <w:color w:val="auto"/>
                <w:sz w:val="21"/>
                <w:szCs w:val="22"/>
                <w:highlight w:val="none"/>
              </w:rPr>
            </w:pPr>
            <w:r>
              <w:rPr>
                <w:rFonts w:hint="eastAsia" w:hAnsi="宋体" w:cs="宋体"/>
                <w:color w:val="auto"/>
                <w:sz w:val="21"/>
                <w:szCs w:val="22"/>
                <w:highlight w:val="none"/>
              </w:rPr>
              <w:t>不召开</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1.9.3</w:t>
            </w:r>
          </w:p>
        </w:tc>
        <w:tc>
          <w:tcPr>
            <w:tcW w:w="3905" w:type="dxa"/>
            <w:tcBorders>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比选文件澄清发出的形式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rPr>
              <w:t>四川智慧高速科技有限公司网站（http：//www.scglxx.com）</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1.10.1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szCs w:val="21"/>
                <w:highlight w:val="none"/>
              </w:rPr>
              <w:t>分包</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highlight w:val="none"/>
              </w:rPr>
            </w:pPr>
            <w:r>
              <w:rPr>
                <w:rFonts w:hint="eastAsia" w:ascii="宋体" w:hAnsi="宋体" w:cs="宋体"/>
                <w:color w:val="auto"/>
                <w:szCs w:val="21"/>
                <w:highlight w:val="none"/>
              </w:rPr>
              <w:t>不允许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1.11.1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实质性要求和条件</w:t>
            </w:r>
          </w:p>
        </w:tc>
        <w:tc>
          <w:tcPr>
            <w:tcW w:w="4252" w:type="dxa"/>
            <w:tcBorders>
              <w:top w:val="single" w:color="auto" w:sz="4" w:space="0"/>
              <w:left w:val="single" w:color="auto" w:sz="4" w:space="0"/>
              <w:bottom w:val="single" w:color="auto" w:sz="4" w:space="0"/>
              <w:right w:val="single" w:color="auto" w:sz="4" w:space="0"/>
            </w:tcBorders>
            <w:vAlign w:val="center"/>
          </w:tcPr>
          <w:p>
            <w:pPr>
              <w:pStyle w:val="18"/>
              <w:topLinePunct/>
              <w:spacing w:line="240" w:lineRule="auto"/>
              <w:rPr>
                <w:rFonts w:hAnsi="宋体" w:cs="宋体"/>
                <w:color w:val="auto"/>
                <w:sz w:val="21"/>
                <w:szCs w:val="22"/>
                <w:highlight w:val="none"/>
              </w:rPr>
            </w:pPr>
            <w:r>
              <w:rPr>
                <w:rFonts w:hint="eastAsia" w:hAnsi="宋体" w:cs="宋体"/>
                <w:color w:val="auto"/>
                <w:sz w:val="21"/>
                <w:szCs w:val="22"/>
                <w:highlight w:val="none"/>
              </w:rPr>
              <w:t>未附有比选人不能接受的条件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1.11.3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其他可以被接受的技术支持资料</w:t>
            </w:r>
          </w:p>
        </w:tc>
        <w:tc>
          <w:tcPr>
            <w:tcW w:w="4252" w:type="dxa"/>
            <w:tcBorders>
              <w:top w:val="single" w:color="auto" w:sz="4" w:space="0"/>
              <w:left w:val="single" w:color="auto" w:sz="4" w:space="0"/>
              <w:bottom w:val="single" w:color="auto" w:sz="4" w:space="0"/>
              <w:right w:val="single" w:color="auto" w:sz="4" w:space="0"/>
            </w:tcBorders>
            <w:vAlign w:val="center"/>
          </w:tcPr>
          <w:p>
            <w:pPr>
              <w:pStyle w:val="18"/>
              <w:topLinePunct/>
              <w:spacing w:line="240" w:lineRule="auto"/>
              <w:rPr>
                <w:rFonts w:hAnsi="宋体" w:cs="宋体"/>
                <w:color w:val="auto"/>
                <w:sz w:val="21"/>
                <w:szCs w:val="22"/>
                <w:highlight w:val="none"/>
              </w:rPr>
            </w:pPr>
            <w:r>
              <w:rPr>
                <w:rFonts w:hint="eastAsia" w:hAnsi="宋体" w:cs="宋体"/>
                <w:color w:val="auto"/>
                <w:sz w:val="32"/>
                <w:highlight w:val="none"/>
              </w:rPr>
              <w:t>/</w:t>
            </w:r>
          </w:p>
        </w:tc>
      </w:tr>
      <w:tr>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1.11.4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偏差</w:t>
            </w:r>
          </w:p>
        </w:tc>
        <w:tc>
          <w:tcPr>
            <w:tcW w:w="4252"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szCs w:val="21"/>
                <w:highlight w:val="none"/>
              </w:rPr>
            </w:pPr>
            <w:r>
              <w:rPr>
                <w:rFonts w:hint="eastAsia" w:ascii="宋体" w:hAnsi="宋体" w:cs="宋体"/>
                <w:color w:val="auto"/>
                <w:szCs w:val="21"/>
                <w:highlight w:val="none"/>
              </w:rPr>
              <w:t>不允许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构成比选文件的其他资料</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rPr>
              <w:t>/</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2.2.1</w:t>
            </w:r>
          </w:p>
        </w:tc>
        <w:tc>
          <w:tcPr>
            <w:tcW w:w="3905"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比选申请人要求澄清比选文件</w:t>
            </w:r>
          </w:p>
        </w:tc>
        <w:tc>
          <w:tcPr>
            <w:tcW w:w="4252" w:type="dxa"/>
            <w:tcBorders>
              <w:top w:val="single" w:color="auto" w:sz="4" w:space="0"/>
              <w:left w:val="single" w:color="auto" w:sz="4" w:space="0"/>
              <w:bottom w:val="single" w:color="auto" w:sz="4" w:space="0"/>
              <w:right w:val="single" w:color="auto" w:sz="4" w:space="0"/>
            </w:tcBorders>
            <w:vAlign w:val="center"/>
          </w:tcPr>
          <w:p>
            <w:pPr>
              <w:pStyle w:val="88"/>
              <w:jc w:val="both"/>
              <w:rPr>
                <w:rFonts w:hAnsi="宋体"/>
                <w:color w:val="auto"/>
                <w:sz w:val="21"/>
                <w:szCs w:val="21"/>
                <w:highlight w:val="none"/>
                <w:lang w:eastAsia="zh-CN"/>
              </w:rPr>
            </w:pPr>
            <w:r>
              <w:rPr>
                <w:rFonts w:hint="eastAsia" w:hAnsi="宋体"/>
                <w:color w:val="auto"/>
                <w:sz w:val="21"/>
                <w:szCs w:val="21"/>
                <w:highlight w:val="none"/>
                <w:lang w:eastAsia="zh-CN"/>
              </w:rPr>
              <w:t>时间：比选申请截止日</w:t>
            </w:r>
            <w:r>
              <w:rPr>
                <w:rFonts w:hint="eastAsia" w:hAnsi="宋体"/>
                <w:color w:val="auto"/>
                <w:sz w:val="21"/>
                <w:szCs w:val="21"/>
                <w:highlight w:val="none"/>
                <w:u w:val="single"/>
                <w:lang w:eastAsia="zh-CN"/>
              </w:rPr>
              <w:t xml:space="preserve"> 2 </w:t>
            </w:r>
            <w:r>
              <w:rPr>
                <w:rFonts w:hint="eastAsia" w:hAnsi="宋体"/>
                <w:color w:val="auto"/>
                <w:sz w:val="21"/>
                <w:szCs w:val="21"/>
                <w:highlight w:val="none"/>
                <w:lang w:eastAsia="zh-CN"/>
              </w:rPr>
              <w:t>天前</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p>
        </w:tc>
        <w:tc>
          <w:tcPr>
            <w:tcW w:w="3905" w:type="dxa"/>
            <w:vMerge w:val="continue"/>
            <w:tcBorders>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pPr>
              <w:pStyle w:val="88"/>
              <w:jc w:val="both"/>
              <w:rPr>
                <w:rFonts w:hAnsi="宋体"/>
                <w:color w:val="auto"/>
                <w:sz w:val="21"/>
                <w:szCs w:val="21"/>
                <w:highlight w:val="none"/>
                <w:lang w:eastAsia="zh-CN"/>
              </w:rPr>
            </w:pPr>
            <w:r>
              <w:rPr>
                <w:rFonts w:hint="eastAsia" w:hAnsi="宋体"/>
                <w:color w:val="auto"/>
                <w:sz w:val="21"/>
                <w:szCs w:val="21"/>
                <w:highlight w:val="none"/>
                <w:lang w:eastAsia="zh-CN"/>
              </w:rPr>
              <w:t>形式：书面</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2.2.2</w:t>
            </w:r>
          </w:p>
        </w:tc>
        <w:tc>
          <w:tcPr>
            <w:tcW w:w="3905" w:type="dxa"/>
            <w:tcBorders>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比选文件澄清发出的形式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highlight w:val="none"/>
              </w:rPr>
            </w:pPr>
            <w:r>
              <w:rPr>
                <w:rFonts w:hint="eastAsia" w:ascii="宋体" w:hAnsi="宋体" w:cs="宋体"/>
                <w:color w:val="auto"/>
                <w:szCs w:val="21"/>
                <w:highlight w:val="none"/>
              </w:rPr>
              <w:t>送交比选申请文件截止时间前17个小时，比选人将以补遗书形式对比选文件进行澄清，补遗书（如果有）、通知书（如果有）及相关公告通过</w:t>
            </w:r>
            <w:r>
              <w:rPr>
                <w:rFonts w:hint="eastAsia" w:ascii="宋体" w:hAnsi="宋体" w:cs="宋体"/>
                <w:color w:val="auto"/>
                <w:highlight w:val="none"/>
              </w:rPr>
              <w:t>四川智慧高速科技有限公司网站（http：//www.scglxx.com）</w:t>
            </w:r>
            <w:r>
              <w:rPr>
                <w:rFonts w:hint="eastAsia" w:ascii="宋体" w:hAnsi="宋体" w:cs="宋体"/>
                <w:color w:val="auto"/>
                <w:szCs w:val="21"/>
                <w:highlight w:val="none"/>
              </w:rPr>
              <w:t>发布，由比选申请人自行下载。</w:t>
            </w:r>
          </w:p>
          <w:p>
            <w:pPr>
              <w:spacing w:line="240" w:lineRule="auto"/>
              <w:rPr>
                <w:rFonts w:ascii="宋体" w:hAnsi="宋体" w:cs="宋体"/>
                <w:color w:val="auto"/>
                <w:highlight w:val="none"/>
              </w:rPr>
            </w:pPr>
            <w:r>
              <w:rPr>
                <w:rFonts w:hint="eastAsia" w:ascii="宋体" w:hAnsi="宋体" w:cs="宋体"/>
                <w:color w:val="auto"/>
                <w:szCs w:val="21"/>
                <w:highlight w:val="none"/>
              </w:rPr>
              <w:t>比选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CellMar>
            <w:top w:w="0" w:type="dxa"/>
            <w:left w:w="108" w:type="dxa"/>
            <w:bottom w:w="0" w:type="dxa"/>
            <w:right w:w="108" w:type="dxa"/>
          </w:tblCellMar>
        </w:tblPrEx>
        <w:trPr>
          <w:trHeight w:val="136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2.2.3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比选申请人确认收到比选文件澄清</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szCs w:val="21"/>
                <w:highlight w:val="none"/>
              </w:rPr>
              <w:t>无时间要求，由比选申请人在</w:t>
            </w:r>
            <w:r>
              <w:rPr>
                <w:rFonts w:hint="eastAsia" w:ascii="宋体" w:hAnsi="宋体" w:cs="宋体"/>
                <w:color w:val="auto"/>
                <w:highlight w:val="none"/>
              </w:rPr>
              <w:t>四川智慧高速科技有限公司网站（http：//www.scglxx.com）</w:t>
            </w:r>
            <w:r>
              <w:rPr>
                <w:rFonts w:hint="eastAsia" w:ascii="宋体" w:hAnsi="宋体" w:cs="宋体"/>
                <w:color w:val="auto"/>
                <w:szCs w:val="21"/>
                <w:highlight w:val="none"/>
              </w:rPr>
              <w:t>自行查阅与下载，不要求比选申请人向比选人发出确认函。</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2.3.1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比选文件修改发出的形式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highlight w:val="none"/>
              </w:rPr>
            </w:pPr>
            <w:r>
              <w:rPr>
                <w:rFonts w:hint="eastAsia" w:ascii="宋体" w:hAnsi="宋体" w:cs="宋体"/>
                <w:color w:val="auto"/>
                <w:szCs w:val="21"/>
                <w:highlight w:val="none"/>
              </w:rPr>
              <w:t>送交比选申请文件截止时间前17个小时，比选人将以补遗书形式对比选文件进行澄清，补遗书（如果有）、通知书（如果有）及相关公告通过</w:t>
            </w:r>
            <w:r>
              <w:rPr>
                <w:rFonts w:hint="eastAsia" w:ascii="宋体" w:hAnsi="宋体" w:cs="宋体"/>
                <w:color w:val="auto"/>
                <w:highlight w:val="none"/>
              </w:rPr>
              <w:t>四川智慧高速科技有限公司网站（http：//www.scglxx.com）</w:t>
            </w:r>
            <w:r>
              <w:rPr>
                <w:rFonts w:hint="eastAsia" w:ascii="宋体" w:hAnsi="宋体" w:cs="宋体"/>
                <w:color w:val="auto"/>
                <w:szCs w:val="21"/>
                <w:highlight w:val="none"/>
              </w:rPr>
              <w:t>发布，由比选申请人自行下载。</w:t>
            </w:r>
          </w:p>
          <w:p>
            <w:pPr>
              <w:spacing w:line="240" w:lineRule="auto"/>
              <w:rPr>
                <w:rFonts w:ascii="宋体" w:hAnsi="宋体" w:cs="宋体"/>
                <w:color w:val="auto"/>
                <w:szCs w:val="21"/>
                <w:highlight w:val="none"/>
              </w:rPr>
            </w:pPr>
            <w:r>
              <w:rPr>
                <w:rFonts w:hint="eastAsia" w:ascii="宋体" w:hAnsi="宋体" w:cs="宋体"/>
                <w:color w:val="auto"/>
                <w:szCs w:val="21"/>
                <w:highlight w:val="none"/>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CellMar>
            <w:top w:w="0" w:type="dxa"/>
            <w:left w:w="108" w:type="dxa"/>
            <w:bottom w:w="0" w:type="dxa"/>
            <w:right w:w="108" w:type="dxa"/>
          </w:tblCellMar>
        </w:tblPrEx>
        <w:trPr>
          <w:trHeight w:val="1361" w:hRule="atLeast"/>
        </w:trPr>
        <w:tc>
          <w:tcPr>
            <w:tcW w:w="1165"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2.3.2</w:t>
            </w:r>
          </w:p>
        </w:tc>
        <w:tc>
          <w:tcPr>
            <w:tcW w:w="3905"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比选申请人确认收到比选文件修改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szCs w:val="21"/>
                <w:highlight w:val="none"/>
              </w:rPr>
              <w:t>无时间要求，由比选申请人在</w:t>
            </w:r>
            <w:r>
              <w:rPr>
                <w:rFonts w:hint="eastAsia" w:ascii="宋体" w:hAnsi="宋体" w:cs="宋体"/>
                <w:color w:val="auto"/>
                <w:highlight w:val="none"/>
              </w:rPr>
              <w:t>四川智慧高速科技有限公司网站（http：//www.scglxx.com）</w:t>
            </w:r>
            <w:r>
              <w:rPr>
                <w:rFonts w:hint="eastAsia" w:ascii="宋体" w:hAnsi="宋体" w:cs="宋体"/>
                <w:color w:val="auto"/>
                <w:szCs w:val="21"/>
                <w:highlight w:val="none"/>
              </w:rPr>
              <w:t>自行查阅与下载，不要求比选申请人向比选人发出确认函。</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3.1.1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构成比选申请文件的组成</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highlight w:val="none"/>
              </w:rPr>
            </w:pPr>
            <w:r>
              <w:rPr>
                <w:rFonts w:hint="eastAsia" w:ascii="宋体" w:hAnsi="宋体" w:cs="宋体"/>
                <w:color w:val="auto"/>
                <w:szCs w:val="21"/>
                <w:highlight w:val="none"/>
              </w:rPr>
              <w:t>一、比选申请函</w:t>
            </w:r>
          </w:p>
          <w:p>
            <w:pPr>
              <w:spacing w:line="240" w:lineRule="auto"/>
              <w:rPr>
                <w:rFonts w:ascii="宋体" w:hAnsi="宋体" w:cs="宋体"/>
                <w:color w:val="auto"/>
                <w:szCs w:val="21"/>
                <w:highlight w:val="none"/>
              </w:rPr>
            </w:pPr>
            <w:r>
              <w:rPr>
                <w:rFonts w:hint="eastAsia" w:ascii="宋体" w:hAnsi="宋体" w:cs="宋体"/>
                <w:color w:val="auto"/>
                <w:szCs w:val="21"/>
                <w:highlight w:val="none"/>
              </w:rPr>
              <w:t>二、法定代表人身份证明（适用于无委托代理人的情况）</w:t>
            </w:r>
          </w:p>
          <w:p>
            <w:pPr>
              <w:spacing w:line="240" w:lineRule="auto"/>
              <w:rPr>
                <w:rFonts w:ascii="宋体" w:hAnsi="宋体" w:cs="宋体"/>
                <w:color w:val="auto"/>
                <w:szCs w:val="21"/>
                <w:highlight w:val="none"/>
              </w:rPr>
            </w:pPr>
            <w:r>
              <w:rPr>
                <w:rFonts w:hint="eastAsia" w:ascii="宋体" w:hAnsi="宋体" w:cs="宋体"/>
                <w:color w:val="auto"/>
                <w:szCs w:val="21"/>
                <w:highlight w:val="none"/>
              </w:rPr>
              <w:t>二、授权委托书（适用于有委托代理人的情况）</w:t>
            </w:r>
          </w:p>
          <w:p>
            <w:pPr>
              <w:spacing w:line="240" w:lineRule="auto"/>
              <w:rPr>
                <w:rFonts w:ascii="宋体" w:hAnsi="宋体" w:cs="宋体"/>
                <w:color w:val="auto"/>
                <w:szCs w:val="21"/>
                <w:highlight w:val="none"/>
              </w:rPr>
            </w:pPr>
            <w:r>
              <w:rPr>
                <w:rFonts w:hint="eastAsia" w:ascii="宋体" w:hAnsi="宋体" w:cs="宋体"/>
                <w:color w:val="auto"/>
                <w:szCs w:val="21"/>
                <w:highlight w:val="none"/>
              </w:rPr>
              <w:t>三、比选申请保证金</w:t>
            </w:r>
          </w:p>
          <w:p>
            <w:pPr>
              <w:spacing w:line="240" w:lineRule="auto"/>
              <w:rPr>
                <w:rFonts w:ascii="宋体" w:hAnsi="宋体" w:cs="宋体"/>
                <w:color w:val="auto"/>
                <w:szCs w:val="21"/>
                <w:highlight w:val="none"/>
              </w:rPr>
            </w:pPr>
            <w:r>
              <w:rPr>
                <w:rFonts w:hint="eastAsia" w:ascii="宋体" w:hAnsi="宋体" w:cs="宋体"/>
                <w:color w:val="auto"/>
                <w:szCs w:val="21"/>
                <w:highlight w:val="none"/>
              </w:rPr>
              <w:t>四、分项报价表</w:t>
            </w:r>
          </w:p>
          <w:p>
            <w:pPr>
              <w:spacing w:line="240" w:lineRule="auto"/>
              <w:rPr>
                <w:rFonts w:ascii="宋体" w:hAnsi="宋体" w:cs="宋体"/>
                <w:color w:val="auto"/>
                <w:szCs w:val="21"/>
                <w:highlight w:val="none"/>
              </w:rPr>
            </w:pPr>
            <w:r>
              <w:rPr>
                <w:rFonts w:hint="eastAsia" w:ascii="宋体" w:hAnsi="宋体" w:cs="宋体"/>
                <w:color w:val="auto"/>
                <w:szCs w:val="21"/>
                <w:highlight w:val="none"/>
              </w:rPr>
              <w:t>五、资格审查资料</w:t>
            </w:r>
          </w:p>
          <w:p>
            <w:pPr>
              <w:spacing w:line="240" w:lineRule="auto"/>
              <w:rPr>
                <w:rFonts w:ascii="宋体" w:hAnsi="宋体" w:cs="宋体"/>
                <w:color w:val="auto"/>
                <w:szCs w:val="21"/>
                <w:highlight w:val="none"/>
              </w:rPr>
            </w:pPr>
            <w:r>
              <w:rPr>
                <w:rFonts w:hint="eastAsia" w:ascii="宋体" w:hAnsi="宋体" w:cs="宋体"/>
                <w:color w:val="auto"/>
                <w:szCs w:val="21"/>
                <w:highlight w:val="none"/>
              </w:rPr>
              <w:t>六、设备技术性能指标的详细描述</w:t>
            </w:r>
          </w:p>
          <w:p>
            <w:pPr>
              <w:spacing w:line="240" w:lineRule="auto"/>
              <w:rPr>
                <w:rFonts w:ascii="宋体" w:hAnsi="宋体" w:cs="宋体"/>
                <w:color w:val="auto"/>
                <w:szCs w:val="21"/>
                <w:highlight w:val="none"/>
              </w:rPr>
            </w:pPr>
            <w:r>
              <w:rPr>
                <w:rFonts w:hint="eastAsia" w:ascii="宋体" w:hAnsi="宋体" w:cs="宋体"/>
                <w:color w:val="auto"/>
                <w:szCs w:val="21"/>
                <w:highlight w:val="none"/>
              </w:rPr>
              <w:t>七、技术支持资料</w:t>
            </w:r>
          </w:p>
          <w:p>
            <w:pPr>
              <w:spacing w:line="240" w:lineRule="auto"/>
              <w:rPr>
                <w:rFonts w:ascii="宋体" w:hAnsi="宋体" w:cs="宋体"/>
                <w:color w:val="auto"/>
                <w:szCs w:val="21"/>
                <w:highlight w:val="none"/>
              </w:rPr>
            </w:pPr>
            <w:r>
              <w:rPr>
                <w:rFonts w:hint="eastAsia" w:ascii="宋体" w:hAnsi="宋体" w:cs="宋体"/>
                <w:color w:val="auto"/>
                <w:szCs w:val="21"/>
                <w:highlight w:val="none"/>
              </w:rPr>
              <w:t>八、技术服务和质保期服务计划</w:t>
            </w:r>
          </w:p>
          <w:p>
            <w:pPr>
              <w:spacing w:line="240" w:lineRule="auto"/>
              <w:rPr>
                <w:rFonts w:ascii="宋体" w:hAnsi="宋体" w:cs="宋体"/>
                <w:color w:val="auto"/>
                <w:szCs w:val="21"/>
                <w:highlight w:val="none"/>
              </w:rPr>
            </w:pPr>
            <w:r>
              <w:rPr>
                <w:rFonts w:hint="eastAsia" w:ascii="宋体" w:hAnsi="宋体" w:cs="宋体"/>
                <w:color w:val="auto"/>
                <w:szCs w:val="21"/>
                <w:highlight w:val="none"/>
              </w:rPr>
              <w:t>九、其他资料</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3.2.1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增值税税金的计算方法</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rPr>
              <w:t>一般计税法，增值税税率13%</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3.2.4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最高比选申请限价</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b/>
                <w:color w:val="auto"/>
                <w:highlight w:val="none"/>
              </w:rPr>
            </w:pPr>
            <w:r>
              <w:rPr>
                <w:rFonts w:hint="eastAsia" w:ascii="宋体" w:hAnsi="宋体" w:cs="宋体"/>
                <w:b/>
                <w:bCs/>
                <w:color w:val="auto"/>
                <w:highlight w:val="none"/>
              </w:rPr>
              <w:t>最高比选申请限价：</w:t>
            </w:r>
            <w:r>
              <w:rPr>
                <w:rFonts w:hint="eastAsia" w:ascii="宋体" w:hAnsi="宋体" w:cs="宋体"/>
                <w:b/>
                <w:bCs/>
                <w:color w:val="auto"/>
                <w:szCs w:val="21"/>
                <w:highlight w:val="none"/>
                <w:u w:val="single"/>
              </w:rPr>
              <w:t>人民币</w:t>
            </w:r>
            <w:r>
              <w:rPr>
                <w:rFonts w:hint="eastAsia" w:ascii="宋体" w:hAnsi="宋体" w:cs="宋体"/>
                <w:b/>
                <w:bCs/>
                <w:color w:val="auto"/>
                <w:sz w:val="24"/>
                <w:szCs w:val="24"/>
                <w:highlight w:val="none"/>
                <w:u w:val="single"/>
              </w:rPr>
              <w:t>363120</w:t>
            </w:r>
            <w:r>
              <w:rPr>
                <w:rFonts w:hint="eastAsia" w:ascii="宋体" w:hAnsi="宋体" w:cs="宋体"/>
                <w:b/>
                <w:bCs/>
                <w:color w:val="auto"/>
                <w:szCs w:val="21"/>
                <w:highlight w:val="none"/>
                <w:u w:val="single"/>
              </w:rPr>
              <w:t>元</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3.2.5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比选申请报价的其他要求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rPr>
              <w:t>/</w:t>
            </w:r>
          </w:p>
        </w:tc>
      </w:tr>
      <w:tr>
        <w:tblPrEx>
          <w:tblCellMar>
            <w:top w:w="0" w:type="dxa"/>
            <w:left w:w="108" w:type="dxa"/>
            <w:bottom w:w="0" w:type="dxa"/>
            <w:right w:w="108" w:type="dxa"/>
          </w:tblCellMar>
        </w:tblPrEx>
        <w:trPr>
          <w:trHeight w:val="119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3.3.1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比选申请有效期、</w:t>
            </w:r>
            <w:r>
              <w:rPr>
                <w:rFonts w:hint="eastAsia" w:ascii="宋体" w:hAnsi="宋体" w:cs="宋体"/>
                <w:color w:val="auto"/>
                <w:kern w:val="2"/>
                <w:sz w:val="22"/>
                <w:highlight w:val="none"/>
              </w:rPr>
              <w:t>授权委托书委托期限</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highlight w:val="none"/>
              </w:rPr>
            </w:pPr>
            <w:bookmarkStart w:id="36" w:name="_Toc1789"/>
            <w:bookmarkStart w:id="37" w:name="_Toc384308207"/>
            <w:bookmarkStart w:id="38" w:name="_Toc369531512"/>
            <w:bookmarkStart w:id="39" w:name="_Toc361508582"/>
            <w:bookmarkStart w:id="40" w:name="_Toc300834946"/>
            <w:bookmarkStart w:id="41" w:name="_Toc352691470"/>
            <w:r>
              <w:rPr>
                <w:rFonts w:hint="eastAsia" w:ascii="宋体" w:hAnsi="宋体" w:cs="宋体"/>
                <w:color w:val="auto"/>
                <w:szCs w:val="21"/>
                <w:highlight w:val="none"/>
              </w:rPr>
              <w:t>比选申请有效期：自比选申请人提交比选申请文件之日起计算90天；</w:t>
            </w:r>
          </w:p>
          <w:p>
            <w:pPr>
              <w:spacing w:line="240" w:lineRule="auto"/>
              <w:rPr>
                <w:rFonts w:ascii="宋体" w:hAnsi="宋体" w:cs="宋体"/>
                <w:color w:val="auto"/>
                <w:highlight w:val="none"/>
              </w:rPr>
            </w:pPr>
            <w:r>
              <w:rPr>
                <w:rFonts w:hint="eastAsia" w:ascii="宋体" w:hAnsi="宋体" w:cs="宋体"/>
                <w:color w:val="auto"/>
                <w:kern w:val="2"/>
                <w:szCs w:val="21"/>
                <w:highlight w:val="none"/>
              </w:rPr>
              <w:t>授权委托书委托期限：</w:t>
            </w:r>
            <w:r>
              <w:rPr>
                <w:rFonts w:hint="eastAsia" w:ascii="宋体" w:hAnsi="宋体" w:cs="宋体"/>
                <w:color w:val="auto"/>
                <w:szCs w:val="21"/>
                <w:highlight w:val="none"/>
              </w:rPr>
              <w:t>自比选申请人提交比选申请文件之日起计算90天。</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3.4.1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kern w:val="2"/>
                <w:highlight w:val="none"/>
              </w:rPr>
              <w:t>比选申请保证金</w:t>
            </w:r>
          </w:p>
        </w:tc>
        <w:tc>
          <w:tcPr>
            <w:tcW w:w="4252" w:type="dxa"/>
            <w:tcBorders>
              <w:top w:val="single" w:color="auto" w:sz="4" w:space="0"/>
              <w:left w:val="single" w:color="auto" w:sz="4" w:space="0"/>
              <w:bottom w:val="single" w:color="auto" w:sz="4" w:space="0"/>
              <w:right w:val="single" w:color="auto" w:sz="4" w:space="0"/>
            </w:tcBorders>
            <w:vAlign w:val="center"/>
          </w:tcPr>
          <w:p>
            <w:pPr>
              <w:pStyle w:val="22"/>
              <w:rPr>
                <w:rFonts w:hAnsi="宋体" w:cs="宋体"/>
                <w:color w:val="auto"/>
                <w:kern w:val="2"/>
                <w:sz w:val="22"/>
                <w:highlight w:val="none"/>
              </w:rPr>
            </w:pPr>
            <w:r>
              <w:rPr>
                <w:rFonts w:hAnsi="宋体" w:cs="宋体"/>
                <w:color w:val="auto"/>
                <w:kern w:val="2"/>
                <w:sz w:val="22"/>
                <w:highlight w:val="none"/>
              </w:rPr>
              <w:t>（1）比选申请保证金的金额：</w:t>
            </w:r>
          </w:p>
          <w:p>
            <w:pPr>
              <w:pStyle w:val="22"/>
              <w:rPr>
                <w:rFonts w:hAnsi="宋体" w:cs="宋体"/>
                <w:color w:val="auto"/>
                <w:kern w:val="2"/>
                <w:sz w:val="22"/>
                <w:highlight w:val="none"/>
              </w:rPr>
            </w:pPr>
            <w:r>
              <w:rPr>
                <w:rFonts w:hAnsi="宋体" w:cs="宋体"/>
                <w:color w:val="auto"/>
                <w:kern w:val="2"/>
                <w:sz w:val="22"/>
                <w:highlight w:val="none"/>
              </w:rPr>
              <w:t>申请人在递交比选申请文件</w:t>
            </w:r>
            <w:r>
              <w:rPr>
                <w:rFonts w:hint="eastAsia" w:hAnsi="宋体" w:cs="宋体"/>
                <w:color w:val="auto"/>
                <w:kern w:val="2"/>
                <w:sz w:val="22"/>
                <w:highlight w:val="none"/>
              </w:rPr>
              <w:t>截止之时</w:t>
            </w:r>
            <w:r>
              <w:rPr>
                <w:rFonts w:hAnsi="宋体" w:cs="宋体"/>
                <w:color w:val="auto"/>
                <w:kern w:val="2"/>
                <w:sz w:val="22"/>
                <w:highlight w:val="none"/>
              </w:rPr>
              <w:t>前</w:t>
            </w:r>
            <w:r>
              <w:rPr>
                <w:rFonts w:hint="eastAsia" w:hAnsi="宋体" w:cs="宋体"/>
                <w:color w:val="auto"/>
                <w:kern w:val="2"/>
                <w:sz w:val="22"/>
                <w:highlight w:val="none"/>
              </w:rPr>
              <w:t>（不含截止之时）</w:t>
            </w:r>
            <w:r>
              <w:rPr>
                <w:rFonts w:hAnsi="宋体" w:cs="宋体"/>
                <w:color w:val="auto"/>
                <w:kern w:val="2"/>
                <w:sz w:val="22"/>
                <w:highlight w:val="none"/>
              </w:rPr>
              <w:t>，应提交如下金额的比选申请保证金：</w:t>
            </w:r>
          </w:p>
          <w:p>
            <w:pPr>
              <w:pStyle w:val="22"/>
              <w:rPr>
                <w:rFonts w:hAnsi="宋体" w:cs="宋体"/>
                <w:b/>
                <w:bCs/>
                <w:color w:val="auto"/>
                <w:kern w:val="2"/>
                <w:sz w:val="22"/>
                <w:highlight w:val="none"/>
              </w:rPr>
            </w:pPr>
            <w:r>
              <w:rPr>
                <w:rFonts w:hint="eastAsia" w:hAnsi="宋体" w:cs="宋体"/>
                <w:b/>
                <w:bCs/>
                <w:color w:val="auto"/>
                <w:kern w:val="2"/>
                <w:sz w:val="22"/>
                <w:highlight w:val="none"/>
              </w:rPr>
              <w:t>DMTSB标段：人民币伍仟元整</w:t>
            </w:r>
          </w:p>
          <w:p>
            <w:pPr>
              <w:pStyle w:val="22"/>
              <w:rPr>
                <w:rFonts w:hAnsi="宋体" w:cs="宋体"/>
                <w:color w:val="auto"/>
                <w:kern w:val="2"/>
                <w:sz w:val="22"/>
                <w:highlight w:val="none"/>
              </w:rPr>
            </w:pPr>
            <w:r>
              <w:rPr>
                <w:rFonts w:hAnsi="宋体" w:cs="宋体"/>
                <w:color w:val="auto"/>
                <w:kern w:val="2"/>
                <w:sz w:val="22"/>
                <w:highlight w:val="none"/>
              </w:rPr>
              <w:t>（2）比选申请保证金的递交形式：现金转帐形式</w:t>
            </w:r>
          </w:p>
          <w:p>
            <w:pPr>
              <w:pStyle w:val="22"/>
              <w:rPr>
                <w:rFonts w:hAnsi="宋体" w:cs="宋体"/>
                <w:color w:val="auto"/>
                <w:kern w:val="2"/>
                <w:sz w:val="22"/>
                <w:highlight w:val="none"/>
              </w:rPr>
            </w:pPr>
            <w:r>
              <w:rPr>
                <w:rFonts w:hAnsi="宋体" w:cs="宋体"/>
                <w:color w:val="auto"/>
                <w:kern w:val="2"/>
                <w:sz w:val="22"/>
                <w:highlight w:val="none"/>
              </w:rPr>
              <w:t>比选申请保证金必须由比选申请人开立的公司银行账户一次性足额划入比选人的指定帐户，并注明所申请标段号。申请人的保证金必须在递交比选申请文件截止之</w:t>
            </w:r>
            <w:r>
              <w:rPr>
                <w:rFonts w:hint="eastAsia" w:hAnsi="宋体" w:cs="宋体"/>
                <w:color w:val="auto"/>
                <w:kern w:val="2"/>
                <w:sz w:val="22"/>
                <w:highlight w:val="none"/>
              </w:rPr>
              <w:t>时（不含截止之时）</w:t>
            </w:r>
            <w:r>
              <w:rPr>
                <w:rFonts w:hAnsi="宋体" w:cs="宋体"/>
                <w:color w:val="auto"/>
                <w:kern w:val="2"/>
                <w:sz w:val="22"/>
                <w:highlight w:val="none"/>
              </w:rPr>
              <w:t>前到账。汇款凭证复印件应加盖比选申请人单位章并按要求装订在比选申请文件八、比选申请保证金中与比选申请文件一同递交。</w:t>
            </w:r>
          </w:p>
          <w:p>
            <w:pPr>
              <w:pStyle w:val="22"/>
              <w:rPr>
                <w:rFonts w:hAnsi="宋体" w:cs="宋体"/>
                <w:color w:val="auto"/>
                <w:kern w:val="2"/>
                <w:sz w:val="22"/>
                <w:highlight w:val="none"/>
              </w:rPr>
            </w:pPr>
            <w:r>
              <w:rPr>
                <w:rFonts w:hAnsi="宋体" w:cs="宋体"/>
                <w:color w:val="auto"/>
                <w:kern w:val="2"/>
                <w:sz w:val="22"/>
                <w:highlight w:val="none"/>
              </w:rPr>
              <w:t>比选人指定账户的账户名称、开户银行及账号如下：</w:t>
            </w:r>
          </w:p>
          <w:p>
            <w:pPr>
              <w:pStyle w:val="22"/>
              <w:rPr>
                <w:rFonts w:hAnsi="宋体" w:cs="宋体"/>
                <w:b/>
                <w:color w:val="auto"/>
                <w:kern w:val="2"/>
                <w:sz w:val="22"/>
                <w:highlight w:val="none"/>
              </w:rPr>
            </w:pPr>
            <w:r>
              <w:rPr>
                <w:rFonts w:hAnsi="宋体" w:cs="宋体"/>
                <w:b/>
                <w:color w:val="auto"/>
                <w:kern w:val="2"/>
                <w:sz w:val="22"/>
                <w:highlight w:val="none"/>
              </w:rPr>
              <w:t>账户名称：四川智慧高速科技有限公司</w:t>
            </w:r>
          </w:p>
          <w:p>
            <w:pPr>
              <w:pStyle w:val="22"/>
              <w:rPr>
                <w:rFonts w:hAnsi="宋体" w:cs="宋体"/>
                <w:b/>
                <w:color w:val="auto"/>
                <w:kern w:val="2"/>
                <w:sz w:val="22"/>
                <w:highlight w:val="none"/>
              </w:rPr>
            </w:pPr>
            <w:r>
              <w:rPr>
                <w:rFonts w:hAnsi="宋体" w:cs="宋体"/>
                <w:b/>
                <w:color w:val="auto"/>
                <w:kern w:val="2"/>
                <w:sz w:val="22"/>
                <w:highlight w:val="none"/>
              </w:rPr>
              <w:t>开 户 行：</w:t>
            </w:r>
            <w:r>
              <w:rPr>
                <w:rFonts w:hint="eastAsia" w:hAnsi="宋体" w:cs="宋体"/>
                <w:b/>
                <w:color w:val="auto"/>
                <w:kern w:val="2"/>
                <w:sz w:val="22"/>
                <w:highlight w:val="none"/>
              </w:rPr>
              <w:t>中国建设银行股份有限公司成都南郊支行</w:t>
            </w:r>
          </w:p>
          <w:p>
            <w:pPr>
              <w:pStyle w:val="22"/>
              <w:rPr>
                <w:rFonts w:hAnsi="宋体" w:cs="宋体"/>
                <w:b/>
                <w:color w:val="auto"/>
                <w:kern w:val="2"/>
                <w:sz w:val="22"/>
                <w:highlight w:val="none"/>
              </w:rPr>
            </w:pPr>
            <w:r>
              <w:rPr>
                <w:rFonts w:hAnsi="宋体" w:cs="宋体"/>
                <w:b/>
                <w:color w:val="auto"/>
                <w:kern w:val="2"/>
                <w:sz w:val="22"/>
                <w:highlight w:val="none"/>
              </w:rPr>
              <w:t>账    号：</w:t>
            </w:r>
            <w:r>
              <w:rPr>
                <w:rFonts w:hAnsi="宋体" w:cs="宋体"/>
                <w:b/>
                <w:bCs/>
                <w:color w:val="auto"/>
                <w:sz w:val="24"/>
                <w:szCs w:val="24"/>
                <w:highlight w:val="none"/>
              </w:rPr>
              <w:t>5100</w:t>
            </w:r>
            <w:r>
              <w:rPr>
                <w:rFonts w:hint="eastAsia" w:hAnsi="宋体" w:cs="宋体"/>
                <w:b/>
                <w:bCs/>
                <w:color w:val="auto"/>
                <w:sz w:val="24"/>
                <w:szCs w:val="24"/>
                <w:highlight w:val="none"/>
              </w:rPr>
              <w:t xml:space="preserve"> </w:t>
            </w:r>
            <w:r>
              <w:rPr>
                <w:rFonts w:hAnsi="宋体" w:cs="宋体"/>
                <w:b/>
                <w:bCs/>
                <w:color w:val="auto"/>
                <w:sz w:val="24"/>
                <w:szCs w:val="24"/>
                <w:highlight w:val="none"/>
              </w:rPr>
              <w:t>1875</w:t>
            </w:r>
            <w:r>
              <w:rPr>
                <w:rFonts w:hint="eastAsia" w:hAnsi="宋体" w:cs="宋体"/>
                <w:b/>
                <w:bCs/>
                <w:color w:val="auto"/>
                <w:sz w:val="24"/>
                <w:szCs w:val="24"/>
                <w:highlight w:val="none"/>
              </w:rPr>
              <w:t xml:space="preserve"> </w:t>
            </w:r>
            <w:r>
              <w:rPr>
                <w:rFonts w:hAnsi="宋体" w:cs="宋体"/>
                <w:b/>
                <w:bCs/>
                <w:color w:val="auto"/>
                <w:sz w:val="24"/>
                <w:szCs w:val="24"/>
                <w:highlight w:val="none"/>
              </w:rPr>
              <w:t>1360</w:t>
            </w:r>
            <w:r>
              <w:rPr>
                <w:rFonts w:hint="eastAsia" w:hAnsi="宋体" w:cs="宋体"/>
                <w:b/>
                <w:bCs/>
                <w:color w:val="auto"/>
                <w:sz w:val="24"/>
                <w:szCs w:val="24"/>
                <w:highlight w:val="none"/>
              </w:rPr>
              <w:t xml:space="preserve"> </w:t>
            </w:r>
            <w:r>
              <w:rPr>
                <w:rFonts w:hAnsi="宋体" w:cs="宋体"/>
                <w:b/>
                <w:bCs/>
                <w:color w:val="auto"/>
                <w:sz w:val="24"/>
                <w:szCs w:val="24"/>
                <w:highlight w:val="none"/>
              </w:rPr>
              <w:t>5036</w:t>
            </w:r>
            <w:r>
              <w:rPr>
                <w:rFonts w:hint="eastAsia" w:hAnsi="宋体" w:cs="宋体"/>
                <w:b/>
                <w:bCs/>
                <w:color w:val="auto"/>
                <w:sz w:val="24"/>
                <w:szCs w:val="24"/>
                <w:highlight w:val="none"/>
              </w:rPr>
              <w:t xml:space="preserve"> </w:t>
            </w:r>
            <w:r>
              <w:rPr>
                <w:rFonts w:hAnsi="宋体" w:cs="宋体"/>
                <w:b/>
                <w:bCs/>
                <w:color w:val="auto"/>
                <w:sz w:val="24"/>
                <w:szCs w:val="24"/>
                <w:highlight w:val="none"/>
              </w:rPr>
              <w:t>5892</w:t>
            </w:r>
            <w:r>
              <w:rPr>
                <w:rFonts w:hAnsi="宋体" w:cs="宋体"/>
                <w:b/>
                <w:color w:val="auto"/>
                <w:kern w:val="2"/>
                <w:sz w:val="22"/>
                <w:highlight w:val="none"/>
              </w:rPr>
              <w:t xml:space="preserve">  </w:t>
            </w:r>
          </w:p>
          <w:p>
            <w:pPr>
              <w:pStyle w:val="2"/>
              <w:rPr>
                <w:color w:val="auto"/>
                <w:highlight w:val="none"/>
              </w:rPr>
            </w:pPr>
            <w:r>
              <w:rPr>
                <w:rFonts w:hAnsi="宋体" w:cs="宋体"/>
                <w:b/>
                <w:color w:val="auto"/>
                <w:kern w:val="2"/>
                <w:sz w:val="22"/>
                <w:highlight w:val="none"/>
              </w:rPr>
              <w:t>联系电话：028-85525410</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3.4.3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kern w:val="2"/>
                <w:highlight w:val="none"/>
              </w:rPr>
            </w:pPr>
            <w:r>
              <w:rPr>
                <w:rFonts w:hint="eastAsia" w:ascii="宋体" w:hAnsi="宋体" w:cs="宋体"/>
                <w:color w:val="auto"/>
                <w:kern w:val="2"/>
                <w:highlight w:val="none"/>
              </w:rPr>
              <w:t>比选申请保证金的退还</w:t>
            </w:r>
          </w:p>
        </w:tc>
        <w:tc>
          <w:tcPr>
            <w:tcW w:w="4252" w:type="dxa"/>
            <w:tcBorders>
              <w:top w:val="single" w:color="auto" w:sz="4" w:space="0"/>
              <w:left w:val="single" w:color="auto" w:sz="4" w:space="0"/>
              <w:bottom w:val="single" w:color="auto" w:sz="4" w:space="0"/>
              <w:right w:val="single" w:color="auto" w:sz="4" w:space="0"/>
            </w:tcBorders>
            <w:vAlign w:val="center"/>
          </w:tcPr>
          <w:p>
            <w:pPr>
              <w:pStyle w:val="88"/>
              <w:spacing w:line="360" w:lineRule="auto"/>
              <w:rPr>
                <w:rFonts w:hAnsi="宋体"/>
                <w:color w:val="auto"/>
                <w:sz w:val="22"/>
                <w:szCs w:val="22"/>
                <w:highlight w:val="none"/>
                <w:lang w:eastAsia="zh-CN"/>
              </w:rPr>
            </w:pPr>
            <w:r>
              <w:rPr>
                <w:rFonts w:hint="eastAsia" w:hAnsi="宋体"/>
                <w:color w:val="auto"/>
                <w:sz w:val="22"/>
                <w:szCs w:val="22"/>
                <w:highlight w:val="none"/>
                <w:lang w:eastAsia="zh-CN"/>
              </w:rPr>
              <w:t>退还时间：比选人最迟将在中标通知书发出后15 日内向中选候选人以外其他比选申请人退还比选申请保证金；与中标人签订合同后5个工作日内向中标人和其他中选候选人退还比选申请保证金。</w:t>
            </w:r>
          </w:p>
          <w:p>
            <w:pPr>
              <w:pStyle w:val="88"/>
              <w:spacing w:line="360" w:lineRule="auto"/>
              <w:rPr>
                <w:rFonts w:hAnsi="宋体"/>
                <w:color w:val="auto"/>
                <w:sz w:val="22"/>
                <w:szCs w:val="22"/>
                <w:highlight w:val="none"/>
                <w:lang w:eastAsia="zh-CN"/>
              </w:rPr>
            </w:pPr>
            <w:r>
              <w:rPr>
                <w:rFonts w:hint="eastAsia" w:hAnsi="宋体"/>
                <w:color w:val="auto"/>
                <w:sz w:val="22"/>
                <w:szCs w:val="22"/>
                <w:highlight w:val="none"/>
                <w:lang w:eastAsia="zh-CN"/>
              </w:rPr>
              <w:t>退还方式：</w:t>
            </w:r>
          </w:p>
          <w:p>
            <w:pPr>
              <w:pStyle w:val="88"/>
              <w:spacing w:line="360" w:lineRule="auto"/>
              <w:rPr>
                <w:rFonts w:hAnsi="宋体"/>
                <w:color w:val="auto"/>
                <w:sz w:val="22"/>
                <w:szCs w:val="22"/>
                <w:highlight w:val="none"/>
                <w:lang w:eastAsia="zh-CN"/>
              </w:rPr>
            </w:pPr>
            <w:r>
              <w:rPr>
                <w:rFonts w:hint="eastAsia" w:hAnsi="宋体"/>
                <w:color w:val="auto"/>
                <w:kern w:val="2"/>
                <w:sz w:val="22"/>
                <w:szCs w:val="22"/>
                <w:highlight w:val="none"/>
                <w:lang w:eastAsia="zh-CN"/>
              </w:rPr>
              <w:t>比选申请人</w:t>
            </w:r>
            <w:r>
              <w:rPr>
                <w:rFonts w:hint="eastAsia" w:hAnsi="宋体"/>
                <w:color w:val="auto"/>
                <w:sz w:val="22"/>
                <w:szCs w:val="22"/>
                <w:highlight w:val="none"/>
                <w:lang w:eastAsia="zh-CN"/>
              </w:rPr>
              <w:t>经办人持以下资料到比选人处退还：</w:t>
            </w:r>
          </w:p>
          <w:p>
            <w:pPr>
              <w:pStyle w:val="88"/>
              <w:spacing w:line="360" w:lineRule="auto"/>
              <w:rPr>
                <w:rFonts w:hAnsi="宋体"/>
                <w:color w:val="auto"/>
                <w:sz w:val="22"/>
                <w:szCs w:val="22"/>
                <w:highlight w:val="none"/>
                <w:lang w:eastAsia="zh-CN"/>
              </w:rPr>
            </w:pPr>
            <w:r>
              <w:rPr>
                <w:rFonts w:hint="eastAsia" w:hAnsi="宋体"/>
                <w:color w:val="auto"/>
                <w:sz w:val="22"/>
                <w:szCs w:val="22"/>
                <w:highlight w:val="none"/>
                <w:lang w:eastAsia="zh-CN"/>
              </w:rPr>
              <w:t>（1）写明比选申请人单位（公司）银行账户、账号的单位介绍信及经办人身份证复印件（出示身份证原件）；</w:t>
            </w:r>
          </w:p>
          <w:p>
            <w:pPr>
              <w:pStyle w:val="88"/>
              <w:spacing w:line="360" w:lineRule="auto"/>
              <w:rPr>
                <w:rFonts w:hAnsi="宋体"/>
                <w:color w:val="auto"/>
                <w:sz w:val="22"/>
                <w:szCs w:val="22"/>
                <w:highlight w:val="none"/>
                <w:lang w:eastAsia="zh-CN"/>
              </w:rPr>
            </w:pPr>
            <w:r>
              <w:rPr>
                <w:rFonts w:hint="eastAsia" w:hAnsi="宋体"/>
                <w:color w:val="auto"/>
                <w:sz w:val="22"/>
                <w:szCs w:val="22"/>
                <w:highlight w:val="none"/>
                <w:lang w:eastAsia="zh-CN"/>
              </w:rPr>
              <w:t>（2）汇款凭证复印件；</w:t>
            </w:r>
          </w:p>
          <w:p>
            <w:pPr>
              <w:pStyle w:val="88"/>
              <w:spacing w:line="360" w:lineRule="auto"/>
              <w:rPr>
                <w:rFonts w:hAnsi="宋体"/>
                <w:color w:val="auto"/>
                <w:sz w:val="22"/>
                <w:szCs w:val="22"/>
                <w:highlight w:val="none"/>
                <w:lang w:eastAsia="zh-CN"/>
              </w:rPr>
            </w:pPr>
            <w:r>
              <w:rPr>
                <w:rFonts w:hint="eastAsia" w:hAnsi="宋体"/>
                <w:color w:val="auto"/>
                <w:sz w:val="22"/>
                <w:szCs w:val="22"/>
                <w:highlight w:val="none"/>
                <w:lang w:eastAsia="zh-CN"/>
              </w:rPr>
              <w:t>（3）比选申请人基本存款账号开户许可证复印件、基本存款账户信息表（基本账户开户行出具）或开立银行结算账户申请书（加盖单位公章）；</w:t>
            </w:r>
          </w:p>
          <w:p>
            <w:pPr>
              <w:pStyle w:val="88"/>
              <w:spacing w:line="360" w:lineRule="auto"/>
              <w:rPr>
                <w:rFonts w:hAnsi="宋体"/>
                <w:color w:val="auto"/>
                <w:sz w:val="22"/>
                <w:szCs w:val="22"/>
                <w:highlight w:val="none"/>
                <w:lang w:eastAsia="zh-CN"/>
              </w:rPr>
            </w:pPr>
            <w:r>
              <w:rPr>
                <w:rFonts w:hint="eastAsia" w:hAnsi="宋体"/>
                <w:color w:val="auto"/>
                <w:sz w:val="22"/>
                <w:szCs w:val="22"/>
                <w:highlight w:val="none"/>
                <w:lang w:eastAsia="zh-CN"/>
              </w:rPr>
              <w:t>（4）与比选人签订的合同原件及履约担保收据复印件（仅对中标人适用）；</w:t>
            </w:r>
          </w:p>
          <w:p>
            <w:pPr>
              <w:pStyle w:val="88"/>
              <w:snapToGrid w:val="0"/>
              <w:rPr>
                <w:rFonts w:hAnsi="宋体"/>
                <w:color w:val="auto"/>
                <w:sz w:val="22"/>
                <w:szCs w:val="22"/>
                <w:highlight w:val="none"/>
                <w:lang w:eastAsia="zh-CN"/>
              </w:rPr>
            </w:pPr>
            <w:r>
              <w:rPr>
                <w:rFonts w:hint="eastAsia" w:hAnsi="宋体"/>
                <w:color w:val="auto"/>
                <w:sz w:val="22"/>
                <w:szCs w:val="22"/>
                <w:highlight w:val="none"/>
                <w:lang w:eastAsia="zh-CN"/>
              </w:rPr>
              <w:t>（5）加盖比选申请人单位财务专用章的比选申请保证金收据（注：收据须会计、出纳、经办人签字，签字须姓名完整且收据上的经办人与介绍信、身份证复印件人员为同一个人）</w:t>
            </w:r>
          </w:p>
          <w:p>
            <w:pPr>
              <w:pStyle w:val="88"/>
              <w:snapToGrid w:val="0"/>
              <w:rPr>
                <w:rFonts w:hAnsi="宋体"/>
                <w:color w:val="auto"/>
                <w:sz w:val="22"/>
                <w:szCs w:val="22"/>
                <w:highlight w:val="none"/>
                <w:lang w:eastAsia="zh-CN"/>
              </w:rPr>
            </w:pPr>
            <w:r>
              <w:rPr>
                <w:rFonts w:hint="eastAsia" w:hAnsi="宋体"/>
                <w:color w:val="auto"/>
                <w:sz w:val="22"/>
                <w:szCs w:val="22"/>
                <w:highlight w:val="none"/>
                <w:lang w:eastAsia="zh-CN"/>
              </w:rPr>
              <w:t>退还比选申请保证金经办人：谢女士</w:t>
            </w:r>
          </w:p>
          <w:p>
            <w:pPr>
              <w:pStyle w:val="22"/>
              <w:spacing w:line="240" w:lineRule="exact"/>
              <w:rPr>
                <w:rFonts w:hAnsi="宋体" w:cs="宋体"/>
                <w:b/>
                <w:color w:val="auto"/>
                <w:kern w:val="2"/>
                <w:highlight w:val="none"/>
              </w:rPr>
            </w:pPr>
            <w:r>
              <w:rPr>
                <w:rFonts w:hint="eastAsia" w:hAnsi="宋体" w:cs="宋体"/>
                <w:color w:val="auto"/>
                <w:sz w:val="22"/>
                <w:highlight w:val="none"/>
              </w:rPr>
              <w:t>联系电话：028-61107713。</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3.4.4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kern w:val="2"/>
                <w:highlight w:val="none"/>
              </w:rPr>
            </w:pPr>
            <w:r>
              <w:rPr>
                <w:rFonts w:hint="eastAsia" w:ascii="宋体" w:hAnsi="宋体" w:cs="宋体"/>
                <w:color w:val="auto"/>
                <w:kern w:val="2"/>
                <w:highlight w:val="none"/>
              </w:rPr>
              <w:t>其他可以不予退还比选申请保证金的情形</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b/>
                <w:color w:val="auto"/>
                <w:kern w:val="2"/>
                <w:highlight w:val="none"/>
              </w:rPr>
            </w:pPr>
            <w:r>
              <w:rPr>
                <w:rFonts w:hint="eastAsia" w:ascii="宋体" w:hAnsi="宋体" w:cs="宋体"/>
                <w:color w:val="auto"/>
                <w:kern w:val="2"/>
                <w:highlight w:val="none"/>
              </w:rPr>
              <w:t>比选申请人提交了虚假资料</w:t>
            </w:r>
          </w:p>
        </w:tc>
      </w:tr>
      <w:bookmarkEnd w:id="36"/>
      <w:bookmarkEnd w:id="37"/>
      <w:bookmarkEnd w:id="38"/>
      <w:bookmarkEnd w:id="39"/>
      <w:bookmarkEnd w:id="40"/>
      <w:bookmarkEnd w:id="41"/>
      <w:tr>
        <w:tblPrEx>
          <w:tblCellMar>
            <w:top w:w="0" w:type="dxa"/>
            <w:left w:w="108" w:type="dxa"/>
            <w:bottom w:w="0" w:type="dxa"/>
            <w:right w:w="108" w:type="dxa"/>
          </w:tblCellMar>
        </w:tblPrEx>
        <w:trPr>
          <w:trHeight w:val="41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3.5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Cs w:val="21"/>
                <w:highlight w:val="none"/>
              </w:rPr>
            </w:pPr>
            <w:r>
              <w:rPr>
                <w:rFonts w:hint="eastAsia" w:ascii="宋体" w:hAnsi="宋体" w:cs="宋体"/>
                <w:color w:val="auto"/>
                <w:highlight w:val="none"/>
              </w:rPr>
              <w:t>资格审查资料</w:t>
            </w:r>
            <w:r>
              <w:rPr>
                <w:rFonts w:hint="eastAsia" w:ascii="宋体" w:hAnsi="宋体" w:cs="宋体"/>
                <w:color w:val="auto"/>
                <w:szCs w:val="21"/>
                <w:highlight w:val="none"/>
              </w:rPr>
              <w:t>的特殊要求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rPr>
              <w:t>/</w:t>
            </w:r>
          </w:p>
        </w:tc>
      </w:tr>
      <w:tr>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3.5.2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Cs w:val="21"/>
                <w:highlight w:val="none"/>
              </w:rPr>
            </w:pPr>
            <w:r>
              <w:rPr>
                <w:rFonts w:hint="eastAsia" w:ascii="宋体" w:hAnsi="宋体" w:cs="宋体"/>
                <w:color w:val="auto"/>
                <w:highlight w:val="none"/>
              </w:rPr>
              <w:t>近年财务状况的年份要求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u w:val="single"/>
              </w:rPr>
            </w:pPr>
            <w:r>
              <w:rPr>
                <w:rFonts w:hint="eastAsia" w:ascii="宋体" w:hAnsi="宋体" w:cs="宋体"/>
                <w:color w:val="auto"/>
                <w:sz w:val="28"/>
                <w:highlight w:val="none"/>
                <w:u w:val="single"/>
              </w:rPr>
              <w:t xml:space="preserve"> </w:t>
            </w:r>
            <w:r>
              <w:rPr>
                <w:rFonts w:hint="eastAsia" w:ascii="宋体" w:hAnsi="宋体" w:cs="宋体"/>
                <w:color w:val="auto"/>
                <w:szCs w:val="21"/>
                <w:highlight w:val="none"/>
                <w:u w:val="single"/>
              </w:rPr>
              <w:t>2021</w:t>
            </w:r>
            <w:r>
              <w:rPr>
                <w:rFonts w:hint="eastAsia" w:ascii="宋体" w:hAnsi="宋体" w:cs="宋体"/>
                <w:color w:val="auto"/>
                <w:highlight w:val="none"/>
              </w:rPr>
              <w:t>年或</w:t>
            </w:r>
            <w:r>
              <w:rPr>
                <w:rFonts w:hint="eastAsia" w:ascii="宋体" w:hAnsi="宋体" w:cs="宋体"/>
                <w:color w:val="auto"/>
                <w:highlight w:val="none"/>
                <w:u w:val="single"/>
              </w:rPr>
              <w:t xml:space="preserve">2022年 </w:t>
            </w:r>
          </w:p>
        </w:tc>
      </w:tr>
      <w:tr>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3.5.3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Cs w:val="21"/>
                <w:highlight w:val="none"/>
              </w:rPr>
            </w:pPr>
            <w:r>
              <w:rPr>
                <w:rFonts w:hint="eastAsia" w:ascii="宋体" w:hAnsi="宋体" w:cs="宋体"/>
                <w:color w:val="auto"/>
                <w:highlight w:val="none"/>
              </w:rPr>
              <w:t>近年完成的类似项目情况的时间要求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u w:val="single"/>
              </w:rPr>
              <w:t>2020年1</w:t>
            </w:r>
            <w:r>
              <w:rPr>
                <w:rFonts w:hint="eastAsia" w:ascii="宋体" w:hAnsi="宋体" w:cs="宋体"/>
                <w:color w:val="auto"/>
                <w:highlight w:val="none"/>
              </w:rPr>
              <w:t>月</w:t>
            </w:r>
            <w:r>
              <w:rPr>
                <w:rFonts w:hint="eastAsia" w:ascii="宋体" w:hAnsi="宋体" w:cs="宋体"/>
                <w:color w:val="auto"/>
                <w:highlight w:val="none"/>
                <w:u w:val="single"/>
              </w:rPr>
              <w:t xml:space="preserve"> 1</w:t>
            </w:r>
            <w:r>
              <w:rPr>
                <w:rFonts w:hint="eastAsia" w:ascii="宋体" w:hAnsi="宋体" w:cs="宋体"/>
                <w:color w:val="auto"/>
                <w:highlight w:val="none"/>
              </w:rPr>
              <w:t>日至</w:t>
            </w:r>
            <w:r>
              <w:rPr>
                <w:rFonts w:hint="eastAsia" w:ascii="宋体" w:hAnsi="宋体" w:cs="宋体"/>
                <w:color w:val="auto"/>
                <w:spacing w:val="-6"/>
                <w:szCs w:val="21"/>
                <w:highlight w:val="none"/>
              </w:rPr>
              <w:t>比选申请文件递交截止日</w:t>
            </w:r>
          </w:p>
        </w:tc>
      </w:tr>
      <w:tr>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3.5.5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Cs w:val="21"/>
                <w:highlight w:val="none"/>
              </w:rPr>
            </w:pPr>
            <w:r>
              <w:rPr>
                <w:rFonts w:hint="eastAsia" w:ascii="宋体" w:hAnsi="宋体" w:cs="宋体"/>
                <w:color w:val="auto"/>
                <w:highlight w:val="none"/>
              </w:rPr>
              <w:t>近年发生的诉讼及仲裁情况的时间要求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u w:val="single"/>
              </w:rPr>
              <w:t>2020年1</w:t>
            </w:r>
            <w:r>
              <w:rPr>
                <w:rFonts w:hint="eastAsia" w:ascii="宋体" w:hAnsi="宋体" w:cs="宋体"/>
                <w:color w:val="auto"/>
                <w:highlight w:val="none"/>
              </w:rPr>
              <w:t>月</w:t>
            </w:r>
            <w:r>
              <w:rPr>
                <w:rFonts w:hint="eastAsia" w:ascii="宋体" w:hAnsi="宋体" w:cs="宋体"/>
                <w:color w:val="auto"/>
                <w:highlight w:val="none"/>
                <w:u w:val="single"/>
              </w:rPr>
              <w:t xml:space="preserve"> 1</w:t>
            </w:r>
            <w:r>
              <w:rPr>
                <w:rFonts w:hint="eastAsia" w:ascii="宋体" w:hAnsi="宋体" w:cs="宋体"/>
                <w:color w:val="auto"/>
                <w:highlight w:val="none"/>
              </w:rPr>
              <w:t>日至</w:t>
            </w:r>
            <w:r>
              <w:rPr>
                <w:rFonts w:hint="eastAsia" w:ascii="宋体" w:hAnsi="宋体" w:cs="宋体"/>
                <w:color w:val="auto"/>
                <w:spacing w:val="-6"/>
                <w:szCs w:val="21"/>
                <w:highlight w:val="none"/>
              </w:rPr>
              <w:t>比选申请文件递交截止日</w:t>
            </w:r>
          </w:p>
        </w:tc>
      </w:tr>
      <w:tr>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3.6.1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是否允许递交备选比选申请方案</w:t>
            </w:r>
          </w:p>
        </w:tc>
        <w:tc>
          <w:tcPr>
            <w:tcW w:w="4252" w:type="dxa"/>
            <w:tcBorders>
              <w:top w:val="single" w:color="auto" w:sz="4" w:space="0"/>
              <w:left w:val="single" w:color="auto" w:sz="4" w:space="0"/>
              <w:bottom w:val="single" w:color="auto" w:sz="4" w:space="0"/>
              <w:right w:val="single" w:color="auto" w:sz="4" w:space="0"/>
            </w:tcBorders>
            <w:vAlign w:val="center"/>
          </w:tcPr>
          <w:p>
            <w:pPr>
              <w:pStyle w:val="18"/>
              <w:topLinePunct/>
              <w:spacing w:line="240" w:lineRule="auto"/>
              <w:rPr>
                <w:rFonts w:hAnsi="宋体" w:cs="宋体"/>
                <w:color w:val="auto"/>
                <w:sz w:val="21"/>
                <w:szCs w:val="22"/>
                <w:highlight w:val="none"/>
              </w:rPr>
            </w:pPr>
            <w:r>
              <w:rPr>
                <w:rFonts w:hint="eastAsia" w:hAnsi="宋体" w:cs="宋体"/>
                <w:color w:val="auto"/>
                <w:sz w:val="21"/>
                <w:szCs w:val="22"/>
                <w:highlight w:val="none"/>
              </w:rPr>
              <w:t>不允许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3.7.3A（2）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比选申请文件副本份数及其他要求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rPr>
              <w:t>比选申请文件副本份数：1，不要求提交电子版文件。</w:t>
            </w:r>
          </w:p>
        </w:tc>
      </w:tr>
      <w:tr>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3.7.3A（3）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比选申请文件是否需分册装订</w:t>
            </w:r>
          </w:p>
        </w:tc>
        <w:tc>
          <w:tcPr>
            <w:tcW w:w="4252" w:type="dxa"/>
            <w:tcBorders>
              <w:top w:val="single" w:color="auto" w:sz="4" w:space="0"/>
              <w:left w:val="single" w:color="auto" w:sz="4" w:space="0"/>
              <w:bottom w:val="single" w:color="auto" w:sz="4" w:space="0"/>
              <w:right w:val="single" w:color="auto" w:sz="4" w:space="0"/>
            </w:tcBorders>
            <w:vAlign w:val="center"/>
          </w:tcPr>
          <w:p>
            <w:pPr>
              <w:pStyle w:val="18"/>
              <w:topLinePunct/>
              <w:spacing w:line="240" w:lineRule="auto"/>
              <w:rPr>
                <w:rFonts w:hAnsi="宋体" w:cs="宋体"/>
                <w:color w:val="auto"/>
                <w:sz w:val="21"/>
                <w:szCs w:val="22"/>
                <w:highlight w:val="none"/>
              </w:rPr>
            </w:pPr>
            <w:r>
              <w:rPr>
                <w:rFonts w:hint="eastAsia" w:hAnsi="宋体" w:cs="宋体"/>
                <w:color w:val="auto"/>
                <w:sz w:val="21"/>
                <w:szCs w:val="22"/>
                <w:highlight w:val="none"/>
              </w:rPr>
              <w:t>不需要</w:t>
            </w:r>
          </w:p>
        </w:tc>
      </w:tr>
      <w:tr>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tcPr>
          <w:p>
            <w:pPr>
              <w:pStyle w:val="73"/>
              <w:spacing w:before="107" w:line="240" w:lineRule="auto"/>
              <w:ind w:left="103" w:right="-23"/>
              <w:rPr>
                <w:color w:val="auto"/>
                <w:highlight w:val="none"/>
              </w:rPr>
            </w:pPr>
            <w:r>
              <w:rPr>
                <w:rFonts w:hint="eastAsia"/>
                <w:color w:val="auto"/>
                <w:highlight w:val="none"/>
              </w:rPr>
              <w:t>3.7.3（B）</w:t>
            </w:r>
          </w:p>
        </w:tc>
        <w:tc>
          <w:tcPr>
            <w:tcW w:w="3905" w:type="dxa"/>
            <w:tcBorders>
              <w:top w:val="single" w:color="auto" w:sz="4" w:space="0"/>
              <w:left w:val="single" w:color="auto" w:sz="4" w:space="0"/>
              <w:bottom w:val="single" w:color="auto" w:sz="4" w:space="0"/>
              <w:right w:val="single" w:color="auto" w:sz="4" w:space="0"/>
            </w:tcBorders>
          </w:tcPr>
          <w:p>
            <w:pPr>
              <w:pStyle w:val="73"/>
              <w:spacing w:before="93" w:line="240" w:lineRule="auto"/>
              <w:ind w:left="144" w:right="144"/>
              <w:jc w:val="center"/>
              <w:rPr>
                <w:color w:val="auto"/>
                <w:highlight w:val="none"/>
                <w:lang w:eastAsia="zh-CN"/>
              </w:rPr>
            </w:pPr>
            <w:r>
              <w:rPr>
                <w:rFonts w:hint="eastAsia"/>
                <w:color w:val="auto"/>
                <w:highlight w:val="none"/>
                <w:lang w:eastAsia="zh-CN"/>
              </w:rPr>
              <w:t>是否要求提交电子比选申请文件</w:t>
            </w:r>
          </w:p>
        </w:tc>
        <w:tc>
          <w:tcPr>
            <w:tcW w:w="4252"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240" w:lineRule="auto"/>
              <w:rPr>
                <w:rFonts w:hAnsi="宋体" w:cs="宋体"/>
                <w:color w:val="auto"/>
                <w:szCs w:val="21"/>
                <w:highlight w:val="none"/>
              </w:rPr>
            </w:pPr>
            <w:r>
              <w:rPr>
                <w:rFonts w:hint="eastAsia" w:hAnsi="宋体" w:cs="宋体"/>
                <w:color w:val="auto"/>
                <w:szCs w:val="21"/>
                <w:highlight w:val="none"/>
              </w:rPr>
              <w:t>不要求</w:t>
            </w:r>
          </w:p>
        </w:tc>
      </w:tr>
      <w:tr>
        <w:tblPrEx>
          <w:tblCellMar>
            <w:top w:w="0" w:type="dxa"/>
            <w:left w:w="108" w:type="dxa"/>
            <w:bottom w:w="0" w:type="dxa"/>
            <w:right w:w="108" w:type="dxa"/>
          </w:tblCellMar>
        </w:tblPrEx>
        <w:trPr>
          <w:trHeight w:val="443" w:hRule="atLeast"/>
        </w:trPr>
        <w:tc>
          <w:tcPr>
            <w:tcW w:w="1165" w:type="dxa"/>
            <w:tcBorders>
              <w:top w:val="single" w:color="auto" w:sz="4" w:space="0"/>
              <w:left w:val="single" w:color="auto" w:sz="4" w:space="0"/>
              <w:bottom w:val="single" w:color="auto" w:sz="4" w:space="0"/>
              <w:right w:val="single" w:color="auto" w:sz="4" w:space="0"/>
            </w:tcBorders>
            <w:vAlign w:val="center"/>
          </w:tcPr>
          <w:p>
            <w:pPr>
              <w:pStyle w:val="73"/>
              <w:spacing w:before="107"/>
              <w:ind w:left="103" w:right="-23"/>
              <w:jc w:val="center"/>
              <w:rPr>
                <w:color w:val="auto"/>
                <w:highlight w:val="none"/>
                <w:lang w:eastAsia="zh-CN"/>
              </w:rPr>
            </w:pPr>
            <w:r>
              <w:rPr>
                <w:rFonts w:hint="eastAsia"/>
                <w:color w:val="auto"/>
                <w:highlight w:val="none"/>
                <w:lang w:eastAsia="zh-CN"/>
              </w:rPr>
              <w:t>3.7.4</w:t>
            </w:r>
          </w:p>
        </w:tc>
        <w:tc>
          <w:tcPr>
            <w:tcW w:w="3905" w:type="dxa"/>
            <w:tcBorders>
              <w:top w:val="single" w:color="auto" w:sz="4" w:space="0"/>
              <w:left w:val="single" w:color="auto" w:sz="4" w:space="0"/>
              <w:bottom w:val="single" w:color="auto" w:sz="4" w:space="0"/>
              <w:right w:val="single" w:color="auto" w:sz="4" w:space="0"/>
            </w:tcBorders>
            <w:vAlign w:val="center"/>
          </w:tcPr>
          <w:p>
            <w:pPr>
              <w:pStyle w:val="73"/>
              <w:spacing w:before="93"/>
              <w:ind w:left="144" w:right="144"/>
              <w:jc w:val="center"/>
              <w:rPr>
                <w:color w:val="auto"/>
                <w:szCs w:val="21"/>
                <w:highlight w:val="none"/>
                <w:lang w:eastAsia="zh-CN"/>
              </w:rPr>
            </w:pPr>
            <w:r>
              <w:rPr>
                <w:rFonts w:hint="eastAsia"/>
                <w:color w:val="auto"/>
                <w:kern w:val="2"/>
                <w:szCs w:val="21"/>
                <w:highlight w:val="none"/>
              </w:rPr>
              <w:t>装订的其他要求</w:t>
            </w:r>
          </w:p>
        </w:tc>
        <w:tc>
          <w:tcPr>
            <w:tcW w:w="4252"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240" w:lineRule="auto"/>
              <w:rPr>
                <w:rFonts w:hAnsi="宋体" w:cs="宋体"/>
                <w:color w:val="auto"/>
                <w:szCs w:val="21"/>
                <w:highlight w:val="none"/>
              </w:rPr>
            </w:pPr>
            <w:r>
              <w:rPr>
                <w:rFonts w:hint="eastAsia" w:hAnsi="宋体" w:cs="宋体"/>
                <w:color w:val="auto"/>
                <w:szCs w:val="21"/>
                <w:highlight w:val="none"/>
              </w:rPr>
              <w:t>比选申请文件的正本、副本应采用粘贴或装订方式分别装订成册，并标明“正本”、“副本”，</w:t>
            </w:r>
            <w:r>
              <w:rPr>
                <w:rFonts w:hint="eastAsia" w:hAnsi="宋体" w:cs="宋体"/>
                <w:b/>
                <w:bCs/>
                <w:color w:val="auto"/>
                <w:szCs w:val="21"/>
                <w:highlight w:val="none"/>
              </w:rPr>
              <w:t>不得采用活页夹等可随时拆换的方式装订</w:t>
            </w:r>
            <w:r>
              <w:rPr>
                <w:rFonts w:hint="eastAsia" w:hAnsi="宋体" w:cs="宋体"/>
                <w:color w:val="auto"/>
                <w:szCs w:val="21"/>
                <w:highlight w:val="none"/>
              </w:rPr>
              <w:t>，同时比选申请文件应编制目录且逐页标注连续编码，否则，比选人将对比选申请文件页数的丢失、散落或其它后果不承担任何责任。</w:t>
            </w:r>
          </w:p>
        </w:tc>
      </w:tr>
      <w:tr>
        <w:tblPrEx>
          <w:tblCellMar>
            <w:top w:w="0" w:type="dxa"/>
            <w:left w:w="108" w:type="dxa"/>
            <w:bottom w:w="0" w:type="dxa"/>
            <w:right w:w="108" w:type="dxa"/>
          </w:tblCellMar>
        </w:tblPrEx>
        <w:trPr>
          <w:trHeight w:val="1203"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4.1.1</w:t>
            </w:r>
          </w:p>
        </w:tc>
        <w:tc>
          <w:tcPr>
            <w:tcW w:w="390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比选申请文件的密封</w:t>
            </w:r>
          </w:p>
        </w:tc>
        <w:tc>
          <w:tcPr>
            <w:tcW w:w="4252"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240" w:lineRule="auto"/>
              <w:rPr>
                <w:rFonts w:hAnsi="宋体" w:cs="宋体"/>
                <w:color w:val="auto"/>
                <w:szCs w:val="21"/>
                <w:highlight w:val="none"/>
              </w:rPr>
            </w:pPr>
            <w:r>
              <w:rPr>
                <w:rFonts w:hint="eastAsia" w:hAnsi="宋体" w:cs="宋体"/>
                <w:color w:val="auto"/>
                <w:szCs w:val="21"/>
                <w:highlight w:val="none"/>
              </w:rPr>
              <w:t>比选申请文件应采用单信封形式密封。比选申请文件（正本、副本）应统一密封包装在一个封套中，并在封套的封口处加盖比选申请人单位章或由比选申请人的法定代表人（单位负责人）或其授权的代理人签字。</w:t>
            </w:r>
          </w:p>
        </w:tc>
      </w:tr>
      <w:tr>
        <w:tblPrEx>
          <w:tblCellMar>
            <w:top w:w="0" w:type="dxa"/>
            <w:left w:w="108" w:type="dxa"/>
            <w:bottom w:w="0" w:type="dxa"/>
            <w:right w:w="108" w:type="dxa"/>
          </w:tblCellMar>
        </w:tblPrEx>
        <w:trPr>
          <w:trHeight w:val="170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4.1.2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Cs w:val="21"/>
                <w:highlight w:val="none"/>
                <w:shd w:val="clear" w:color="FFFFFF" w:fill="D9D9D9"/>
              </w:rPr>
            </w:pPr>
            <w:r>
              <w:rPr>
                <w:rFonts w:hint="eastAsia" w:ascii="宋体" w:hAnsi="宋体" w:cs="宋体"/>
                <w:color w:val="auto"/>
                <w:szCs w:val="21"/>
                <w:highlight w:val="none"/>
              </w:rPr>
              <w:t>封套上应载明的信息</w:t>
            </w:r>
          </w:p>
        </w:tc>
        <w:tc>
          <w:tcPr>
            <w:tcW w:w="4252" w:type="dxa"/>
            <w:tcBorders>
              <w:top w:val="single" w:color="auto" w:sz="4" w:space="0"/>
              <w:left w:val="single" w:color="auto" w:sz="4" w:space="0"/>
              <w:bottom w:val="single" w:color="auto" w:sz="4" w:space="0"/>
              <w:right w:val="single" w:color="auto" w:sz="4" w:space="0"/>
            </w:tcBorders>
            <w:vAlign w:val="center"/>
          </w:tcPr>
          <w:p>
            <w:pPr>
              <w:pStyle w:val="88"/>
              <w:jc w:val="both"/>
              <w:rPr>
                <w:rFonts w:hAnsi="宋体"/>
                <w:color w:val="auto"/>
                <w:sz w:val="21"/>
                <w:szCs w:val="21"/>
                <w:highlight w:val="none"/>
                <w:lang w:eastAsia="zh-CN"/>
              </w:rPr>
            </w:pPr>
            <w:r>
              <w:rPr>
                <w:rFonts w:hint="eastAsia" w:hAnsi="宋体"/>
                <w:b/>
                <w:color w:val="auto"/>
                <w:sz w:val="21"/>
                <w:szCs w:val="21"/>
                <w:highlight w:val="none"/>
                <w:lang w:eastAsia="zh-CN"/>
              </w:rPr>
              <w:t>外层封套</w:t>
            </w:r>
          </w:p>
          <w:p>
            <w:pPr>
              <w:pStyle w:val="88"/>
              <w:jc w:val="both"/>
              <w:rPr>
                <w:rFonts w:hAnsi="宋体"/>
                <w:color w:val="auto"/>
                <w:sz w:val="21"/>
                <w:szCs w:val="21"/>
                <w:highlight w:val="none"/>
                <w:lang w:eastAsia="zh-CN"/>
              </w:rPr>
            </w:pPr>
            <w:r>
              <w:rPr>
                <w:rFonts w:hint="eastAsia" w:hAnsi="宋体"/>
                <w:color w:val="auto"/>
                <w:sz w:val="21"/>
                <w:szCs w:val="21"/>
                <w:highlight w:val="none"/>
                <w:u w:val="single"/>
                <w:lang w:eastAsia="zh-CN"/>
              </w:rPr>
              <w:t xml:space="preserve">比选项目全称    </w:t>
            </w:r>
            <w:r>
              <w:rPr>
                <w:rFonts w:hint="eastAsia" w:hAnsi="宋体"/>
                <w:color w:val="auto"/>
                <w:sz w:val="21"/>
                <w:szCs w:val="21"/>
                <w:highlight w:val="none"/>
                <w:lang w:eastAsia="zh-CN"/>
              </w:rPr>
              <w:t xml:space="preserve"> 第</w:t>
            </w:r>
            <w:r>
              <w:rPr>
                <w:rFonts w:hint="eastAsia" w:hAnsi="宋体"/>
                <w:color w:val="auto"/>
                <w:sz w:val="21"/>
                <w:szCs w:val="21"/>
                <w:highlight w:val="none"/>
                <w:u w:val="single"/>
                <w:lang w:eastAsia="zh-CN"/>
              </w:rPr>
              <w:t xml:space="preserve">    </w:t>
            </w:r>
            <w:r>
              <w:rPr>
                <w:rFonts w:hint="eastAsia" w:hAnsi="宋体"/>
                <w:color w:val="auto"/>
                <w:sz w:val="21"/>
                <w:szCs w:val="21"/>
                <w:highlight w:val="none"/>
                <w:lang w:eastAsia="zh-CN"/>
              </w:rPr>
              <w:t xml:space="preserve">标段比选申请文件 </w:t>
            </w:r>
          </w:p>
          <w:p>
            <w:pPr>
              <w:pStyle w:val="88"/>
              <w:jc w:val="both"/>
              <w:rPr>
                <w:rFonts w:hAnsi="宋体"/>
                <w:color w:val="auto"/>
                <w:sz w:val="21"/>
                <w:szCs w:val="21"/>
                <w:highlight w:val="none"/>
                <w:lang w:eastAsia="zh-CN"/>
              </w:rPr>
            </w:pPr>
            <w:r>
              <w:rPr>
                <w:rFonts w:hint="eastAsia" w:hAnsi="宋体"/>
                <w:color w:val="auto"/>
                <w:sz w:val="21"/>
                <w:szCs w:val="21"/>
                <w:highlight w:val="none"/>
                <w:lang w:eastAsia="zh-CN"/>
              </w:rPr>
              <w:t>在</w:t>
            </w:r>
            <w:r>
              <w:rPr>
                <w:rFonts w:hint="eastAsia" w:hAnsi="宋体"/>
                <w:color w:val="auto"/>
                <w:sz w:val="21"/>
                <w:szCs w:val="21"/>
                <w:highlight w:val="none"/>
                <w:u w:val="single"/>
                <w:lang w:eastAsia="zh-CN"/>
              </w:rPr>
              <w:t xml:space="preserve">    </w:t>
            </w:r>
            <w:r>
              <w:rPr>
                <w:rFonts w:hint="eastAsia" w:hAnsi="宋体"/>
                <w:color w:val="auto"/>
                <w:sz w:val="21"/>
                <w:szCs w:val="21"/>
                <w:highlight w:val="none"/>
                <w:lang w:eastAsia="zh-CN"/>
              </w:rPr>
              <w:t>年</w:t>
            </w:r>
            <w:r>
              <w:rPr>
                <w:rFonts w:hint="eastAsia" w:hAnsi="宋体"/>
                <w:color w:val="auto"/>
                <w:sz w:val="21"/>
                <w:szCs w:val="21"/>
                <w:highlight w:val="none"/>
                <w:u w:val="single"/>
                <w:lang w:eastAsia="zh-CN"/>
              </w:rPr>
              <w:t xml:space="preserve">    </w:t>
            </w:r>
            <w:r>
              <w:rPr>
                <w:rFonts w:hint="eastAsia" w:hAnsi="宋体"/>
                <w:color w:val="auto"/>
                <w:sz w:val="21"/>
                <w:szCs w:val="21"/>
                <w:highlight w:val="none"/>
                <w:lang w:eastAsia="zh-CN"/>
              </w:rPr>
              <w:t>月</w:t>
            </w:r>
            <w:r>
              <w:rPr>
                <w:rFonts w:hint="eastAsia" w:hAnsi="宋体"/>
                <w:color w:val="auto"/>
                <w:sz w:val="21"/>
                <w:szCs w:val="21"/>
                <w:highlight w:val="none"/>
                <w:u w:val="single"/>
                <w:lang w:eastAsia="zh-CN"/>
              </w:rPr>
              <w:t xml:space="preserve">    </w:t>
            </w:r>
            <w:r>
              <w:rPr>
                <w:rFonts w:hint="eastAsia" w:hAnsi="宋体"/>
                <w:color w:val="auto"/>
                <w:sz w:val="21"/>
                <w:szCs w:val="21"/>
                <w:highlight w:val="none"/>
                <w:lang w:eastAsia="zh-CN"/>
              </w:rPr>
              <w:t>日</w:t>
            </w:r>
            <w:r>
              <w:rPr>
                <w:rFonts w:hint="eastAsia" w:hAnsi="宋体"/>
                <w:color w:val="auto"/>
                <w:sz w:val="21"/>
                <w:szCs w:val="21"/>
                <w:highlight w:val="none"/>
                <w:u w:val="single"/>
                <w:lang w:eastAsia="zh-CN"/>
              </w:rPr>
              <w:t xml:space="preserve">    </w:t>
            </w:r>
            <w:r>
              <w:rPr>
                <w:rFonts w:hint="eastAsia" w:hAnsi="宋体"/>
                <w:color w:val="auto"/>
                <w:sz w:val="21"/>
                <w:szCs w:val="21"/>
                <w:highlight w:val="none"/>
                <w:lang w:eastAsia="zh-CN"/>
              </w:rPr>
              <w:t>时</w:t>
            </w:r>
            <w:r>
              <w:rPr>
                <w:rFonts w:hint="eastAsia" w:hAnsi="宋体"/>
                <w:color w:val="auto"/>
                <w:sz w:val="21"/>
                <w:szCs w:val="21"/>
                <w:highlight w:val="none"/>
                <w:u w:val="single"/>
                <w:lang w:eastAsia="zh-CN"/>
              </w:rPr>
              <w:t xml:space="preserve">    </w:t>
            </w:r>
            <w:r>
              <w:rPr>
                <w:rFonts w:hint="eastAsia" w:hAnsi="宋体"/>
                <w:color w:val="auto"/>
                <w:sz w:val="21"/>
                <w:szCs w:val="21"/>
                <w:highlight w:val="none"/>
                <w:lang w:eastAsia="zh-CN"/>
              </w:rPr>
              <w:t xml:space="preserve">分前不得开启 </w:t>
            </w:r>
          </w:p>
          <w:p>
            <w:pPr>
              <w:pStyle w:val="88"/>
              <w:jc w:val="both"/>
              <w:rPr>
                <w:rFonts w:hAnsi="宋体"/>
                <w:color w:val="auto"/>
                <w:sz w:val="21"/>
                <w:szCs w:val="21"/>
                <w:highlight w:val="none"/>
                <w:lang w:eastAsia="zh-CN"/>
              </w:rPr>
            </w:pPr>
            <w:r>
              <w:rPr>
                <w:rFonts w:hint="eastAsia" w:hAnsi="宋体"/>
                <w:color w:val="auto"/>
                <w:sz w:val="21"/>
                <w:szCs w:val="21"/>
                <w:highlight w:val="none"/>
                <w:lang w:eastAsia="zh-CN"/>
              </w:rPr>
              <w:t>比选申请人全称：</w:t>
            </w:r>
            <w:r>
              <w:rPr>
                <w:rFonts w:hint="eastAsia" w:hAnsi="宋体"/>
                <w:color w:val="auto"/>
                <w:sz w:val="21"/>
                <w:szCs w:val="21"/>
                <w:highlight w:val="none"/>
                <w:u w:val="single"/>
                <w:lang w:eastAsia="zh-CN"/>
              </w:rPr>
              <w:t xml:space="preserve">            </w:t>
            </w:r>
            <w:r>
              <w:rPr>
                <w:rFonts w:hint="eastAsia" w:hAnsi="宋体"/>
                <w:color w:val="auto"/>
                <w:sz w:val="21"/>
                <w:szCs w:val="21"/>
                <w:highlight w:val="none"/>
                <w:lang w:eastAsia="zh-CN"/>
              </w:rPr>
              <w:t>(盖单位章)</w:t>
            </w:r>
          </w:p>
        </w:tc>
      </w:tr>
      <w:tr>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4.2.1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比选申请截止时间</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highlight w:val="none"/>
              </w:rPr>
            </w:pPr>
            <w:r>
              <w:rPr>
                <w:rFonts w:hint="eastAsia" w:ascii="宋体" w:hAnsi="宋体" w:cs="宋体"/>
                <w:color w:val="auto"/>
                <w:szCs w:val="21"/>
                <w:highlight w:val="none"/>
              </w:rPr>
              <w:t>见比选公告</w:t>
            </w:r>
          </w:p>
        </w:tc>
      </w:tr>
      <w:tr>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4.2.2（A）</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递交比选申请文件地点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highlight w:val="none"/>
              </w:rPr>
            </w:pPr>
            <w:r>
              <w:rPr>
                <w:rFonts w:hint="eastAsia" w:ascii="宋体" w:hAnsi="宋体" w:cs="宋体"/>
                <w:color w:val="auto"/>
                <w:szCs w:val="21"/>
                <w:highlight w:val="none"/>
              </w:rPr>
              <w:t>见比选公告</w:t>
            </w:r>
          </w:p>
        </w:tc>
      </w:tr>
      <w:tr>
        <w:tblPrEx>
          <w:tblCellMar>
            <w:top w:w="0" w:type="dxa"/>
            <w:left w:w="108" w:type="dxa"/>
            <w:bottom w:w="0" w:type="dxa"/>
            <w:right w:w="108" w:type="dxa"/>
          </w:tblCellMar>
        </w:tblPrEx>
        <w:trPr>
          <w:trHeight w:val="62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4.2.3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比选申请文件是否退还</w:t>
            </w:r>
          </w:p>
        </w:tc>
        <w:tc>
          <w:tcPr>
            <w:tcW w:w="4252" w:type="dxa"/>
            <w:tcBorders>
              <w:top w:val="single" w:color="auto" w:sz="4" w:space="0"/>
              <w:left w:val="single" w:color="auto" w:sz="4" w:space="0"/>
              <w:bottom w:val="single" w:color="auto" w:sz="4" w:space="0"/>
              <w:right w:val="single" w:color="auto" w:sz="4" w:space="0"/>
            </w:tcBorders>
            <w:vAlign w:val="center"/>
          </w:tcPr>
          <w:p>
            <w:pPr>
              <w:pStyle w:val="18"/>
              <w:topLinePunct/>
              <w:spacing w:line="240" w:lineRule="auto"/>
              <w:rPr>
                <w:rFonts w:hAnsi="宋体" w:cs="宋体"/>
                <w:color w:val="auto"/>
                <w:sz w:val="21"/>
                <w:szCs w:val="21"/>
                <w:highlight w:val="none"/>
              </w:rPr>
            </w:pPr>
            <w:r>
              <w:rPr>
                <w:rFonts w:hint="eastAsia" w:hAnsi="宋体" w:cs="宋体"/>
                <w:color w:val="auto"/>
                <w:sz w:val="21"/>
                <w:highlight w:val="none"/>
              </w:rPr>
              <w:t>若比选申请人少于3家（不含3家）将不予开标，比选申请文件原封退还。</w:t>
            </w:r>
          </w:p>
        </w:tc>
      </w:tr>
      <w:tr>
        <w:tblPrEx>
          <w:tblCellMar>
            <w:top w:w="0" w:type="dxa"/>
            <w:left w:w="108" w:type="dxa"/>
            <w:bottom w:w="0" w:type="dxa"/>
            <w:right w:w="108" w:type="dxa"/>
          </w:tblCellMar>
        </w:tblPrEx>
        <w:trPr>
          <w:trHeight w:val="141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5.1（A）</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开标时间和地点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sz w:val="22"/>
                <w:highlight w:val="none"/>
              </w:rPr>
              <w:t>递交投标文件截止</w:t>
            </w:r>
            <w:r>
              <w:rPr>
                <w:rFonts w:hint="eastAsia" w:hAnsi="宋体" w:cs="宋体"/>
                <w:color w:val="auto"/>
                <w:sz w:val="22"/>
                <w:highlight w:val="none"/>
              </w:rPr>
              <w:t>后</w:t>
            </w:r>
          </w:p>
          <w:p>
            <w:pPr>
              <w:spacing w:line="240" w:lineRule="auto"/>
              <w:rPr>
                <w:rFonts w:ascii="宋体" w:hAnsi="宋体" w:cs="宋体"/>
                <w:color w:val="auto"/>
                <w:szCs w:val="24"/>
                <w:highlight w:val="none"/>
              </w:rPr>
            </w:pPr>
            <w:r>
              <w:rPr>
                <w:rFonts w:hint="eastAsia" w:ascii="宋体" w:hAnsi="宋体" w:cs="宋体"/>
                <w:color w:val="auto"/>
                <w:szCs w:val="24"/>
                <w:highlight w:val="none"/>
              </w:rPr>
              <w:t>开标地点：成都市高新区天府二街萃华路89号成都国际科技节能大厦A座10楼会议室</w:t>
            </w:r>
          </w:p>
          <w:p>
            <w:pPr>
              <w:spacing w:line="240" w:lineRule="auto"/>
              <w:rPr>
                <w:rFonts w:ascii="宋体" w:hAnsi="宋体" w:cs="宋体"/>
                <w:color w:val="auto"/>
                <w:szCs w:val="24"/>
                <w:highlight w:val="none"/>
              </w:rPr>
            </w:pPr>
            <w:r>
              <w:rPr>
                <w:rFonts w:hint="eastAsia" w:ascii="宋体" w:hAnsi="宋体" w:cs="宋体"/>
                <w:color w:val="auto"/>
                <w:szCs w:val="24"/>
                <w:highlight w:val="none"/>
              </w:rPr>
              <w:t>（因故未参加开标的比选申请人视为默认认可开标结果。）</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spacing w:val="-101"/>
                <w:highlight w:val="none"/>
              </w:rPr>
              <w:t>2</w:t>
            </w:r>
            <w:r>
              <w:rPr>
                <w:rFonts w:hint="eastAsia" w:ascii="宋体" w:hAnsi="宋体" w:cs="宋体"/>
                <w:color w:val="auto"/>
                <w:spacing w:val="-1"/>
                <w:highlight w:val="none"/>
              </w:rPr>
              <w:t>（</w:t>
            </w:r>
            <w:r>
              <w:rPr>
                <w:rFonts w:hint="eastAsia" w:ascii="宋体" w:hAnsi="宋体" w:cs="宋体"/>
                <w:color w:val="auto"/>
                <w:highlight w:val="none"/>
              </w:rPr>
              <w:t>4</w:t>
            </w:r>
            <w:r>
              <w:rPr>
                <w:rFonts w:hint="eastAsia" w:ascii="宋体" w:hAnsi="宋体" w:cs="宋体"/>
                <w:color w:val="auto"/>
                <w:spacing w:val="-209"/>
                <w:highlight w:val="none"/>
              </w:rPr>
              <w:t>）</w:t>
            </w:r>
            <w:r>
              <w:rPr>
                <w:rFonts w:hint="eastAsia" w:ascii="宋体" w:hAnsi="宋体" w:cs="宋体"/>
                <w:color w:val="auto"/>
                <w:highlight w:val="none"/>
              </w:rPr>
              <w:t>（</w:t>
            </w:r>
            <w:r>
              <w:rPr>
                <w:rFonts w:hint="eastAsia" w:ascii="宋体" w:hAnsi="宋体" w:cs="宋体"/>
                <w:color w:val="auto"/>
                <w:spacing w:val="-2"/>
                <w:highlight w:val="none"/>
              </w:rPr>
              <w:t>A</w:t>
            </w:r>
            <w:r>
              <w:rPr>
                <w:rFonts w:hint="eastAsia" w:ascii="宋体" w:hAnsi="宋体" w:cs="宋体"/>
                <w:color w:val="auto"/>
                <w:highlight w:val="none"/>
              </w:rPr>
              <w:t>）</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开标程序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rPr>
              <w:t>开标顺序：随机</w:t>
            </w:r>
          </w:p>
        </w:tc>
      </w:tr>
      <w:tr>
        <w:tblPrEx>
          <w:tblCellMar>
            <w:top w:w="0" w:type="dxa"/>
            <w:left w:w="108" w:type="dxa"/>
            <w:bottom w:w="0" w:type="dxa"/>
            <w:right w:w="108" w:type="dxa"/>
          </w:tblCellMar>
        </w:tblPrEx>
        <w:trPr>
          <w:trHeight w:val="90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6.1.1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评审委员会的组建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highlight w:val="none"/>
              </w:rPr>
            </w:pPr>
            <w:r>
              <w:rPr>
                <w:rFonts w:hint="eastAsia" w:ascii="宋体" w:hAnsi="宋体" w:cs="宋体"/>
                <w:color w:val="auto"/>
                <w:szCs w:val="21"/>
                <w:highlight w:val="none"/>
              </w:rPr>
              <w:t>评审委员会构成：</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w:t>
            </w:r>
          </w:p>
          <w:p>
            <w:pPr>
              <w:spacing w:line="240" w:lineRule="auto"/>
              <w:rPr>
                <w:rFonts w:ascii="宋体" w:hAnsi="宋体" w:cs="宋体"/>
                <w:color w:val="auto"/>
                <w:highlight w:val="none"/>
              </w:rPr>
            </w:pPr>
            <w:r>
              <w:rPr>
                <w:rFonts w:hint="eastAsia" w:ascii="宋体" w:hAnsi="宋体" w:cs="宋体"/>
                <w:color w:val="auto"/>
                <w:szCs w:val="21"/>
                <w:highlight w:val="none"/>
              </w:rPr>
              <w:t>评审专家确定方式：依照比选人比选管理办法从比选人评审委员会库中随机抽取。</w:t>
            </w:r>
          </w:p>
        </w:tc>
      </w:tr>
      <w:tr>
        <w:tblPrEx>
          <w:tblCellMar>
            <w:top w:w="0" w:type="dxa"/>
            <w:left w:w="108" w:type="dxa"/>
            <w:bottom w:w="0" w:type="dxa"/>
            <w:right w:w="108" w:type="dxa"/>
          </w:tblCellMar>
        </w:tblPrEx>
        <w:trPr>
          <w:trHeight w:val="45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6.3.2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评审委员会推荐中选候选人的人数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rPr>
              <w:t>每标段最多3名</w:t>
            </w:r>
          </w:p>
        </w:tc>
      </w:tr>
      <w:tr>
        <w:tblPrEx>
          <w:tblCellMar>
            <w:top w:w="0" w:type="dxa"/>
            <w:left w:w="108" w:type="dxa"/>
            <w:bottom w:w="0" w:type="dxa"/>
            <w:right w:w="108" w:type="dxa"/>
          </w:tblCellMar>
        </w:tblPrEx>
        <w:trPr>
          <w:trHeight w:val="73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7.1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中选候选人公示媒介及期限</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 w:val="32"/>
                <w:highlight w:val="none"/>
              </w:rPr>
            </w:pPr>
            <w:r>
              <w:rPr>
                <w:rFonts w:hint="eastAsia" w:ascii="宋体" w:hAnsi="宋体" w:cs="宋体"/>
                <w:color w:val="auto"/>
                <w:szCs w:val="21"/>
                <w:highlight w:val="none"/>
              </w:rPr>
              <w:t>在四川智慧高速科技有限公司网站（http：//www.scglxx.com）</w:t>
            </w:r>
            <w:r>
              <w:rPr>
                <w:rFonts w:hint="eastAsia" w:ascii="宋体" w:hAnsi="宋体" w:cs="宋体"/>
                <w:color w:val="auto"/>
                <w:highlight w:val="none"/>
              </w:rPr>
              <w:t>公示3日</w:t>
            </w:r>
          </w:p>
        </w:tc>
      </w:tr>
      <w:tr>
        <w:tblPrEx>
          <w:tblCellMar>
            <w:top w:w="0" w:type="dxa"/>
            <w:left w:w="108" w:type="dxa"/>
            <w:bottom w:w="0" w:type="dxa"/>
            <w:right w:w="108" w:type="dxa"/>
          </w:tblCellMar>
        </w:tblPrEx>
        <w:trPr>
          <w:trHeight w:val="45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7.4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是否授权评审委员会确定中选人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rPr>
              <w:t>否</w:t>
            </w:r>
          </w:p>
        </w:tc>
      </w:tr>
      <w:tr>
        <w:tblPrEx>
          <w:tblCellMar>
            <w:top w:w="0" w:type="dxa"/>
            <w:left w:w="108" w:type="dxa"/>
            <w:bottom w:w="0" w:type="dxa"/>
            <w:right w:w="108" w:type="dxa"/>
          </w:tblCellMar>
        </w:tblPrEx>
        <w:trPr>
          <w:trHeight w:val="45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7.6.1</w:t>
            </w:r>
          </w:p>
        </w:tc>
        <w:tc>
          <w:tcPr>
            <w:tcW w:w="3905" w:type="dxa"/>
            <w:tcBorders>
              <w:top w:val="single" w:color="auto" w:sz="4" w:space="0"/>
              <w:left w:val="single" w:color="auto" w:sz="4" w:space="0"/>
              <w:bottom w:val="single" w:color="auto" w:sz="4" w:space="0"/>
              <w:right w:val="single" w:color="auto" w:sz="4" w:space="0"/>
            </w:tcBorders>
            <w:vAlign w:val="center"/>
          </w:tcPr>
          <w:p>
            <w:pPr>
              <w:pStyle w:val="88"/>
              <w:jc w:val="center"/>
              <w:rPr>
                <w:rFonts w:hAnsi="宋体"/>
                <w:color w:val="auto"/>
                <w:highlight w:val="none"/>
              </w:rPr>
            </w:pPr>
            <w:r>
              <w:rPr>
                <w:rFonts w:hint="eastAsia" w:hAnsi="宋体"/>
                <w:color w:val="auto"/>
                <w:sz w:val="21"/>
                <w:szCs w:val="21"/>
                <w:highlight w:val="none"/>
                <w:lang w:eastAsia="zh-CN"/>
              </w:rPr>
              <w:t>履约保证金</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highlight w:val="none"/>
              </w:rPr>
            </w:pPr>
            <w:r>
              <w:rPr>
                <w:rFonts w:hint="eastAsia" w:ascii="宋体" w:hAnsi="宋体" w:cs="宋体"/>
                <w:color w:val="auto"/>
                <w:szCs w:val="21"/>
                <w:highlight w:val="none"/>
              </w:rPr>
              <w:t>不适用</w:t>
            </w:r>
          </w:p>
        </w:tc>
      </w:tr>
      <w:tr>
        <w:tblPrEx>
          <w:tblCellMar>
            <w:top w:w="0" w:type="dxa"/>
            <w:left w:w="108" w:type="dxa"/>
            <w:bottom w:w="0" w:type="dxa"/>
            <w:right w:w="108" w:type="dxa"/>
          </w:tblCellMar>
        </w:tblPrEx>
        <w:trPr>
          <w:trHeight w:val="1814" w:hRule="atLeast"/>
        </w:trPr>
        <w:tc>
          <w:tcPr>
            <w:tcW w:w="1165" w:type="dxa"/>
            <w:tcBorders>
              <w:top w:val="single" w:color="auto" w:sz="4" w:space="0"/>
              <w:left w:val="single" w:color="auto" w:sz="4" w:space="0"/>
              <w:bottom w:val="single" w:color="auto" w:sz="4" w:space="0"/>
              <w:right w:val="single" w:color="auto" w:sz="4" w:space="0"/>
            </w:tcBorders>
            <w:vAlign w:val="center"/>
          </w:tcPr>
          <w:p>
            <w:pPr>
              <w:pStyle w:val="22"/>
              <w:jc w:val="center"/>
              <w:rPr>
                <w:rFonts w:hAnsi="宋体" w:cs="宋体"/>
                <w:color w:val="auto"/>
                <w:highlight w:val="none"/>
              </w:rPr>
            </w:pPr>
            <w:r>
              <w:rPr>
                <w:rFonts w:hint="eastAsia" w:hAnsi="宋体" w:cs="宋体"/>
                <w:color w:val="auto"/>
                <w:highlight w:val="none"/>
              </w:rPr>
              <w:t>8.5.1</w:t>
            </w:r>
          </w:p>
        </w:tc>
        <w:tc>
          <w:tcPr>
            <w:tcW w:w="3905" w:type="dxa"/>
            <w:tcBorders>
              <w:top w:val="single" w:color="auto" w:sz="4" w:space="0"/>
              <w:left w:val="single" w:color="auto" w:sz="4" w:space="0"/>
              <w:bottom w:val="single" w:color="auto" w:sz="4" w:space="0"/>
              <w:right w:val="single" w:color="auto" w:sz="4" w:space="0"/>
            </w:tcBorders>
            <w:vAlign w:val="center"/>
          </w:tcPr>
          <w:p>
            <w:pPr>
              <w:pStyle w:val="88"/>
              <w:spacing w:line="360" w:lineRule="auto"/>
              <w:jc w:val="center"/>
              <w:rPr>
                <w:rFonts w:hAnsi="宋体"/>
                <w:color w:val="auto"/>
                <w:sz w:val="21"/>
                <w:szCs w:val="21"/>
                <w:highlight w:val="none"/>
              </w:rPr>
            </w:pPr>
            <w:r>
              <w:rPr>
                <w:rFonts w:hint="eastAsia" w:hAnsi="宋体"/>
                <w:color w:val="auto"/>
                <w:sz w:val="22"/>
                <w:szCs w:val="22"/>
                <w:highlight w:val="none"/>
                <w:lang w:eastAsia="zh-CN"/>
              </w:rPr>
              <w:t>咨询及投诉</w:t>
            </w:r>
          </w:p>
        </w:tc>
        <w:tc>
          <w:tcPr>
            <w:tcW w:w="4252" w:type="dxa"/>
            <w:tcBorders>
              <w:top w:val="single" w:color="auto" w:sz="4" w:space="0"/>
              <w:left w:val="single" w:color="auto" w:sz="4" w:space="0"/>
              <w:bottom w:val="single" w:color="auto" w:sz="4" w:space="0"/>
              <w:right w:val="single" w:color="auto" w:sz="4" w:space="0"/>
            </w:tcBorders>
            <w:vAlign w:val="center"/>
          </w:tcPr>
          <w:p>
            <w:pPr>
              <w:pStyle w:val="88"/>
              <w:spacing w:line="360" w:lineRule="auto"/>
              <w:jc w:val="both"/>
              <w:rPr>
                <w:rFonts w:hAnsi="宋体"/>
                <w:color w:val="auto"/>
                <w:sz w:val="22"/>
                <w:szCs w:val="22"/>
                <w:highlight w:val="none"/>
                <w:lang w:eastAsia="zh-CN"/>
              </w:rPr>
            </w:pPr>
            <w:r>
              <w:rPr>
                <w:rFonts w:hint="eastAsia" w:hAnsi="宋体"/>
                <w:color w:val="auto"/>
                <w:sz w:val="22"/>
                <w:szCs w:val="22"/>
                <w:highlight w:val="none"/>
                <w:lang w:eastAsia="zh-CN"/>
              </w:rPr>
              <w:t>部门：四川智慧高速科技有限公司技术设计部</w:t>
            </w:r>
          </w:p>
          <w:p>
            <w:pPr>
              <w:pStyle w:val="88"/>
              <w:spacing w:line="360" w:lineRule="auto"/>
              <w:jc w:val="both"/>
              <w:rPr>
                <w:rFonts w:hAnsi="宋体"/>
                <w:color w:val="auto"/>
                <w:sz w:val="22"/>
                <w:szCs w:val="22"/>
                <w:highlight w:val="none"/>
                <w:lang w:eastAsia="zh-CN"/>
              </w:rPr>
            </w:pPr>
            <w:r>
              <w:rPr>
                <w:rFonts w:hint="eastAsia" w:hAnsi="宋体"/>
                <w:color w:val="auto"/>
                <w:sz w:val="22"/>
                <w:szCs w:val="22"/>
                <w:highlight w:val="none"/>
                <w:lang w:eastAsia="zh-CN"/>
              </w:rPr>
              <w:t>地址：成都市高新区天府二街萃华路89号成都国际科技节能大厦A座10楼</w:t>
            </w:r>
          </w:p>
          <w:p>
            <w:pPr>
              <w:pStyle w:val="88"/>
              <w:spacing w:line="360" w:lineRule="auto"/>
              <w:jc w:val="both"/>
              <w:rPr>
                <w:rFonts w:hAnsi="宋体"/>
                <w:color w:val="auto"/>
                <w:sz w:val="22"/>
                <w:szCs w:val="22"/>
                <w:highlight w:val="none"/>
                <w:lang w:eastAsia="zh-CN"/>
              </w:rPr>
            </w:pPr>
            <w:r>
              <w:rPr>
                <w:rFonts w:hint="eastAsia" w:hAnsi="宋体"/>
                <w:color w:val="auto"/>
                <w:sz w:val="22"/>
                <w:szCs w:val="22"/>
                <w:highlight w:val="none"/>
                <w:lang w:eastAsia="zh-CN"/>
              </w:rPr>
              <w:t>电话：028-61107713</w:t>
            </w:r>
          </w:p>
          <w:p>
            <w:pPr>
              <w:pStyle w:val="88"/>
              <w:spacing w:line="360" w:lineRule="auto"/>
              <w:jc w:val="both"/>
              <w:rPr>
                <w:rFonts w:hAnsi="宋体"/>
                <w:color w:val="auto"/>
                <w:sz w:val="22"/>
                <w:szCs w:val="22"/>
                <w:highlight w:val="none"/>
                <w:lang w:eastAsia="zh-CN"/>
              </w:rPr>
            </w:pPr>
            <w:r>
              <w:rPr>
                <w:rFonts w:hint="eastAsia" w:hAnsi="宋体"/>
                <w:color w:val="auto"/>
                <w:sz w:val="22"/>
                <w:szCs w:val="22"/>
                <w:highlight w:val="none"/>
                <w:lang w:eastAsia="zh-CN"/>
              </w:rPr>
              <w:t>传真：028-85527031</w:t>
            </w:r>
          </w:p>
          <w:p>
            <w:pPr>
              <w:pStyle w:val="88"/>
              <w:spacing w:line="360" w:lineRule="auto"/>
              <w:jc w:val="both"/>
              <w:rPr>
                <w:rFonts w:hAnsi="宋体"/>
                <w:color w:val="auto"/>
                <w:szCs w:val="21"/>
                <w:highlight w:val="none"/>
                <w:lang w:eastAsia="zh-CN"/>
              </w:rPr>
            </w:pPr>
            <w:r>
              <w:rPr>
                <w:rFonts w:hint="eastAsia" w:hAnsi="宋体"/>
                <w:color w:val="auto"/>
                <w:sz w:val="22"/>
                <w:szCs w:val="22"/>
                <w:highlight w:val="none"/>
                <w:lang w:eastAsia="zh-CN"/>
              </w:rPr>
              <w:t>邮政编码：610041</w:t>
            </w:r>
          </w:p>
        </w:tc>
      </w:tr>
      <w:tr>
        <w:tblPrEx>
          <w:tblCellMar>
            <w:top w:w="0" w:type="dxa"/>
            <w:left w:w="108" w:type="dxa"/>
            <w:bottom w:w="0" w:type="dxa"/>
            <w:right w:w="108" w:type="dxa"/>
          </w:tblCellMar>
        </w:tblPrEx>
        <w:trPr>
          <w:trHeight w:val="47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9</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是否采用电子比选比选申请</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rPr>
              <w:t>否</w:t>
            </w:r>
          </w:p>
        </w:tc>
      </w:tr>
      <w:tr>
        <w:tblPrEx>
          <w:tblCellMar>
            <w:top w:w="0" w:type="dxa"/>
            <w:left w:w="108" w:type="dxa"/>
            <w:bottom w:w="0" w:type="dxa"/>
            <w:right w:w="108" w:type="dxa"/>
          </w:tblCellMar>
        </w:tblPrEx>
        <w:trPr>
          <w:trHeight w:val="1342" w:hRule="atLeast"/>
        </w:trPr>
        <w:tc>
          <w:tcPr>
            <w:tcW w:w="1165" w:type="dxa"/>
            <w:tcBorders>
              <w:top w:val="single" w:color="auto" w:sz="4" w:space="0"/>
              <w:left w:val="single" w:color="auto" w:sz="4" w:space="0"/>
              <w:bottom w:val="single" w:color="auto" w:sz="4" w:space="0"/>
              <w:right w:val="single" w:color="auto" w:sz="4" w:space="0"/>
            </w:tcBorders>
            <w:vAlign w:val="center"/>
          </w:tcPr>
          <w:p>
            <w:pPr>
              <w:pStyle w:val="73"/>
              <w:spacing w:line="240" w:lineRule="auto"/>
              <w:ind w:left="242" w:right="242"/>
              <w:jc w:val="center"/>
              <w:rPr>
                <w:color w:val="auto"/>
                <w:highlight w:val="none"/>
              </w:rPr>
            </w:pPr>
            <w:r>
              <w:rPr>
                <w:rFonts w:hint="eastAsia"/>
                <w:color w:val="auto"/>
                <w:highlight w:val="none"/>
              </w:rPr>
              <w:t>10</w:t>
            </w:r>
          </w:p>
        </w:tc>
        <w:tc>
          <w:tcPr>
            <w:tcW w:w="3905" w:type="dxa"/>
            <w:tcBorders>
              <w:top w:val="single" w:color="auto" w:sz="4" w:space="0"/>
              <w:left w:val="single" w:color="auto" w:sz="4" w:space="0"/>
              <w:bottom w:val="single" w:color="auto" w:sz="4" w:space="0"/>
              <w:right w:val="single" w:color="auto" w:sz="4" w:space="0"/>
            </w:tcBorders>
            <w:vAlign w:val="center"/>
          </w:tcPr>
          <w:p>
            <w:pPr>
              <w:pStyle w:val="73"/>
              <w:spacing w:line="240" w:lineRule="auto"/>
              <w:ind w:left="144" w:right="144"/>
              <w:jc w:val="center"/>
              <w:rPr>
                <w:b/>
                <w:bCs/>
                <w:color w:val="auto"/>
                <w:highlight w:val="none"/>
              </w:rPr>
            </w:pPr>
            <w:r>
              <w:rPr>
                <w:rFonts w:hint="eastAsia"/>
                <w:b/>
                <w:bCs/>
                <w:color w:val="auto"/>
                <w:highlight w:val="none"/>
              </w:rPr>
              <w:t>需要补充的其他内容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宋体" w:hAnsi="宋体" w:cs="宋体"/>
                <w:b/>
                <w:bCs/>
                <w:color w:val="auto"/>
                <w:highlight w:val="none"/>
              </w:rPr>
            </w:pPr>
            <w:r>
              <w:rPr>
                <w:rFonts w:hint="eastAsia" w:ascii="宋体" w:hAnsi="宋体" w:cs="宋体"/>
                <w:b/>
                <w:bCs/>
                <w:color w:val="auto"/>
                <w:highlight w:val="none"/>
              </w:rPr>
              <w:t>同一品牌的LED小间距设备，仅能有一家单位参与比选申请，否则相关单位比选申请均无效。</w:t>
            </w:r>
          </w:p>
        </w:tc>
      </w:tr>
    </w:tbl>
    <w:p>
      <w:pPr>
        <w:spacing w:line="400" w:lineRule="exact"/>
        <w:jc w:val="center"/>
        <w:rPr>
          <w:rFonts w:ascii="宋体" w:hAnsi="宋体" w:cs="宋体"/>
          <w:b/>
          <w:bCs/>
          <w:snapToGrid w:val="0"/>
          <w:color w:val="auto"/>
          <w:highlight w:val="none"/>
        </w:rPr>
      </w:pPr>
      <w:r>
        <w:rPr>
          <w:rFonts w:hint="eastAsia" w:ascii="宋体" w:hAnsi="宋体" w:cs="宋体"/>
          <w:color w:val="auto"/>
          <w:highlight w:val="none"/>
        </w:rPr>
        <w:br w:type="page"/>
      </w:r>
      <w:r>
        <w:rPr>
          <w:rFonts w:hint="eastAsia" w:ascii="宋体" w:hAnsi="宋体" w:cs="宋体"/>
          <w:b/>
          <w:bCs/>
          <w:snapToGrid w:val="0"/>
          <w:color w:val="auto"/>
          <w:highlight w:val="none"/>
        </w:rPr>
        <w:t>附录1  资格审查条件（资格最低条件要求）</w:t>
      </w:r>
    </w:p>
    <w:tbl>
      <w:tblPr>
        <w:tblStyle w:val="3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072" w:type="dxa"/>
            <w:shd w:val="clear" w:color="auto" w:fill="auto"/>
            <w:vAlign w:val="center"/>
          </w:tcPr>
          <w:p>
            <w:pPr>
              <w:spacing w:line="240" w:lineRule="auto"/>
              <w:jc w:val="center"/>
              <w:rPr>
                <w:rFonts w:ascii="宋体" w:hAnsi="宋体" w:cs="宋体"/>
                <w:b/>
                <w:snapToGrid w:val="0"/>
                <w:color w:val="auto"/>
                <w:szCs w:val="21"/>
                <w:highlight w:val="none"/>
              </w:rPr>
            </w:pPr>
            <w:r>
              <w:rPr>
                <w:rFonts w:hint="eastAsia" w:ascii="宋体" w:hAnsi="宋体" w:cs="宋体"/>
                <w:b/>
                <w:snapToGrid w:val="0"/>
                <w:color w:val="auto"/>
                <w:szCs w:val="21"/>
                <w:highlight w:val="none"/>
              </w:rPr>
              <w:t>标段号</w:t>
            </w:r>
          </w:p>
        </w:tc>
        <w:tc>
          <w:tcPr>
            <w:tcW w:w="6928" w:type="dxa"/>
            <w:vAlign w:val="center"/>
          </w:tcPr>
          <w:p>
            <w:pPr>
              <w:spacing w:line="240" w:lineRule="auto"/>
              <w:jc w:val="center"/>
              <w:rPr>
                <w:rFonts w:ascii="宋体" w:hAnsi="宋体" w:cs="宋体"/>
                <w:b/>
                <w:snapToGrid w:val="0"/>
                <w:color w:val="auto"/>
                <w:szCs w:val="21"/>
                <w:highlight w:val="none"/>
              </w:rPr>
            </w:pPr>
            <w:r>
              <w:rPr>
                <w:rFonts w:hint="eastAsia" w:ascii="宋体" w:hAnsi="宋体" w:cs="宋体"/>
                <w:b/>
                <w:snapToGrid w:val="0"/>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trPr>
        <w:tc>
          <w:tcPr>
            <w:tcW w:w="2072" w:type="dxa"/>
            <w:shd w:val="clear" w:color="auto" w:fill="auto"/>
            <w:vAlign w:val="center"/>
          </w:tcPr>
          <w:p>
            <w:pPr>
              <w:spacing w:line="24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DMTSB</w:t>
            </w:r>
          </w:p>
        </w:tc>
        <w:tc>
          <w:tcPr>
            <w:tcW w:w="6928" w:type="dxa"/>
            <w:vAlign w:val="center"/>
          </w:tcPr>
          <w:p>
            <w:pPr>
              <w:spacing w:line="240" w:lineRule="auto"/>
              <w:rPr>
                <w:color w:val="auto"/>
                <w:highlight w:val="none"/>
              </w:rPr>
            </w:pPr>
            <w:r>
              <w:rPr>
                <w:rFonts w:hint="eastAsia"/>
                <w:color w:val="auto"/>
                <w:highlight w:val="none"/>
              </w:rPr>
              <w:t>1、比选申请人须具备在中华人民共和国境内注册的合法有效的独立企业法人营业执照；具备有效的基本账户开户许可证或基本存款账户信息表（基本账户开户行出具）；具有与本比选项目相应的供货能力。</w:t>
            </w:r>
          </w:p>
        </w:tc>
      </w:tr>
    </w:tbl>
    <w:p>
      <w:pPr>
        <w:spacing w:before="120" w:beforeLines="50"/>
        <w:ind w:firstLine="360"/>
        <w:rPr>
          <w:rFonts w:ascii="宋体" w:hAnsi="宋体" w:cs="宋体"/>
          <w:iCs/>
          <w:snapToGrid w:val="0"/>
          <w:color w:val="auto"/>
          <w:sz w:val="18"/>
          <w:szCs w:val="18"/>
          <w:highlight w:val="none"/>
        </w:rPr>
      </w:pPr>
      <w:r>
        <w:rPr>
          <w:rFonts w:hint="eastAsia" w:ascii="宋体" w:hAnsi="宋体" w:cs="宋体"/>
          <w:iCs/>
          <w:snapToGrid w:val="0"/>
          <w:color w:val="auto"/>
          <w:sz w:val="18"/>
          <w:szCs w:val="18"/>
          <w:highlight w:val="none"/>
        </w:rPr>
        <w:t>注：比选申请人如不满足上述条件，将被认为</w:t>
      </w:r>
      <w:r>
        <w:rPr>
          <w:rFonts w:hint="eastAsia" w:ascii="宋体" w:hAnsi="宋体" w:cs="宋体"/>
          <w:color w:val="auto"/>
          <w:sz w:val="18"/>
          <w:szCs w:val="18"/>
          <w:highlight w:val="none"/>
        </w:rPr>
        <w:t>不响应比选人强制性要求，其比选申请无效</w:t>
      </w:r>
      <w:r>
        <w:rPr>
          <w:rFonts w:hint="eastAsia" w:ascii="宋体" w:hAnsi="宋体" w:cs="宋体"/>
          <w:iCs/>
          <w:snapToGrid w:val="0"/>
          <w:color w:val="auto"/>
          <w:sz w:val="18"/>
          <w:szCs w:val="18"/>
          <w:highlight w:val="none"/>
        </w:rPr>
        <w:t>。</w:t>
      </w:r>
    </w:p>
    <w:p>
      <w:pPr>
        <w:spacing w:before="120" w:beforeLines="50"/>
        <w:ind w:firstLine="360"/>
        <w:rPr>
          <w:rFonts w:ascii="宋体" w:hAnsi="宋体" w:cs="宋体"/>
          <w:iCs/>
          <w:snapToGrid w:val="0"/>
          <w:color w:val="auto"/>
          <w:sz w:val="18"/>
          <w:szCs w:val="18"/>
          <w:highlight w:val="none"/>
        </w:rPr>
      </w:pPr>
    </w:p>
    <w:p>
      <w:pPr>
        <w:spacing w:line="400" w:lineRule="exact"/>
        <w:jc w:val="center"/>
        <w:rPr>
          <w:rFonts w:ascii="宋体" w:hAnsi="宋体" w:cs="宋体"/>
          <w:b/>
          <w:bCs/>
          <w:snapToGrid w:val="0"/>
          <w:color w:val="auto"/>
          <w:highlight w:val="none"/>
        </w:rPr>
      </w:pPr>
      <w:r>
        <w:rPr>
          <w:rFonts w:hint="eastAsia" w:ascii="宋体" w:hAnsi="宋体" w:cs="宋体"/>
          <w:b/>
          <w:bCs/>
          <w:snapToGrid w:val="0"/>
          <w:color w:val="auto"/>
          <w:highlight w:val="none"/>
        </w:rPr>
        <w:t>附录2  资格审查条件（财务最低条件要求）</w:t>
      </w:r>
    </w:p>
    <w:tbl>
      <w:tblPr>
        <w:tblStyle w:val="37"/>
        <w:tblW w:w="9052"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072"/>
        <w:gridCol w:w="69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20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snapToGrid w:val="0"/>
                <w:color w:val="auto"/>
                <w:szCs w:val="21"/>
                <w:highlight w:val="none"/>
              </w:rPr>
            </w:pPr>
            <w:r>
              <w:rPr>
                <w:rFonts w:hint="eastAsia" w:ascii="宋体" w:hAnsi="宋体" w:cs="宋体"/>
                <w:b/>
                <w:snapToGrid w:val="0"/>
                <w:color w:val="auto"/>
                <w:szCs w:val="21"/>
                <w:highlight w:val="none"/>
              </w:rPr>
              <w:t>标段号</w:t>
            </w:r>
          </w:p>
        </w:tc>
        <w:tc>
          <w:tcPr>
            <w:tcW w:w="698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b/>
                <w:color w:val="auto"/>
                <w:w w:val="90"/>
                <w:szCs w:val="21"/>
                <w:highlight w:val="none"/>
              </w:rPr>
            </w:pPr>
            <w:r>
              <w:rPr>
                <w:rFonts w:hint="eastAsia" w:ascii="宋体" w:hAnsi="宋体" w:cs="宋体"/>
                <w:b/>
                <w:snapToGrid w:val="0"/>
                <w:color w:val="auto"/>
                <w:szCs w:val="21"/>
                <w:highlight w:val="none"/>
              </w:rPr>
              <w:t>财务要求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20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DMTSB</w:t>
            </w:r>
          </w:p>
        </w:tc>
        <w:tc>
          <w:tcPr>
            <w:tcW w:w="698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napToGrid w:val="0"/>
                <w:color w:val="auto"/>
                <w:szCs w:val="21"/>
                <w:highlight w:val="none"/>
              </w:rPr>
            </w:pPr>
            <w:r>
              <w:rPr>
                <w:rFonts w:hint="eastAsia" w:ascii="宋体" w:hAnsi="宋体" w:cs="宋体"/>
                <w:color w:val="auto"/>
                <w:szCs w:val="21"/>
                <w:highlight w:val="none"/>
              </w:rPr>
              <w:t>2021年度或2022年度财务</w:t>
            </w:r>
            <w:r>
              <w:rPr>
                <w:rFonts w:hint="eastAsia" w:ascii="宋体" w:hAnsi="宋体" w:cs="宋体"/>
                <w:color w:val="auto"/>
                <w:highlight w:val="none"/>
              </w:rPr>
              <w:t>净资产收益率</w:t>
            </w:r>
            <w:r>
              <w:rPr>
                <w:rFonts w:hint="eastAsia" w:ascii="宋体" w:hAnsi="宋体" w:cs="宋体"/>
                <w:color w:val="auto"/>
                <w:szCs w:val="21"/>
                <w:highlight w:val="none"/>
              </w:rPr>
              <w:t>大于零。</w:t>
            </w:r>
          </w:p>
        </w:tc>
      </w:tr>
    </w:tbl>
    <w:p>
      <w:pPr>
        <w:spacing w:before="120" w:beforeLines="50" w:line="276" w:lineRule="auto"/>
        <w:ind w:firstLine="360"/>
        <w:rPr>
          <w:rFonts w:ascii="宋体" w:hAnsi="宋体" w:cs="宋体"/>
          <w:iCs/>
          <w:snapToGrid w:val="0"/>
          <w:color w:val="auto"/>
          <w:sz w:val="18"/>
          <w:szCs w:val="18"/>
          <w:highlight w:val="none"/>
        </w:rPr>
      </w:pPr>
      <w:r>
        <w:rPr>
          <w:rFonts w:hint="eastAsia" w:ascii="宋体" w:hAnsi="宋体" w:cs="宋体"/>
          <w:iCs/>
          <w:snapToGrid w:val="0"/>
          <w:color w:val="auto"/>
          <w:sz w:val="18"/>
          <w:szCs w:val="18"/>
          <w:highlight w:val="none"/>
        </w:rPr>
        <w:t>注：比选申请人如不满足上述条件，将被认为不响应比选人强制性要求，</w:t>
      </w:r>
      <w:r>
        <w:rPr>
          <w:rFonts w:hint="eastAsia" w:ascii="宋体" w:hAnsi="宋体" w:cs="宋体"/>
          <w:color w:val="auto"/>
          <w:sz w:val="18"/>
          <w:szCs w:val="18"/>
          <w:highlight w:val="none"/>
        </w:rPr>
        <w:t>其比选申请无效</w:t>
      </w:r>
      <w:r>
        <w:rPr>
          <w:rFonts w:hint="eastAsia" w:ascii="宋体" w:hAnsi="宋体" w:cs="宋体"/>
          <w:iCs/>
          <w:snapToGrid w:val="0"/>
          <w:color w:val="auto"/>
          <w:sz w:val="18"/>
          <w:szCs w:val="18"/>
          <w:highlight w:val="none"/>
        </w:rPr>
        <w:t>。</w:t>
      </w:r>
    </w:p>
    <w:p>
      <w:pPr>
        <w:spacing w:before="120" w:beforeLines="50"/>
        <w:rPr>
          <w:rFonts w:ascii="宋体" w:hAnsi="宋体" w:cs="宋体"/>
          <w:iCs/>
          <w:snapToGrid w:val="0"/>
          <w:color w:val="auto"/>
          <w:sz w:val="18"/>
          <w:szCs w:val="18"/>
          <w:highlight w:val="none"/>
        </w:rPr>
      </w:pPr>
    </w:p>
    <w:p>
      <w:pPr>
        <w:spacing w:line="400" w:lineRule="exact"/>
        <w:jc w:val="center"/>
        <w:rPr>
          <w:rFonts w:ascii="宋体" w:hAnsi="宋体" w:cs="宋体"/>
          <w:b/>
          <w:bCs/>
          <w:snapToGrid w:val="0"/>
          <w:color w:val="auto"/>
          <w:highlight w:val="none"/>
        </w:rPr>
      </w:pPr>
      <w:r>
        <w:rPr>
          <w:rFonts w:hint="eastAsia" w:ascii="宋体" w:hAnsi="宋体" w:cs="宋体"/>
          <w:b/>
          <w:bCs/>
          <w:snapToGrid w:val="0"/>
          <w:color w:val="auto"/>
          <w:highlight w:val="none"/>
        </w:rPr>
        <w:t>附录3  资格审查条件（业绩最低条件要求）</w:t>
      </w:r>
    </w:p>
    <w:tbl>
      <w:tblPr>
        <w:tblStyle w:val="37"/>
        <w:tblW w:w="90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072" w:type="dxa"/>
            <w:vAlign w:val="center"/>
          </w:tcPr>
          <w:p>
            <w:pPr>
              <w:spacing w:line="240" w:lineRule="auto"/>
              <w:jc w:val="center"/>
              <w:rPr>
                <w:rFonts w:ascii="宋体" w:hAnsi="宋体" w:cs="宋体"/>
                <w:b/>
                <w:snapToGrid w:val="0"/>
                <w:color w:val="auto"/>
                <w:szCs w:val="21"/>
                <w:highlight w:val="none"/>
              </w:rPr>
            </w:pPr>
            <w:r>
              <w:rPr>
                <w:rFonts w:hint="eastAsia" w:ascii="宋体" w:hAnsi="宋体" w:cs="宋体"/>
                <w:b/>
                <w:snapToGrid w:val="0"/>
                <w:color w:val="auto"/>
                <w:szCs w:val="21"/>
                <w:highlight w:val="none"/>
              </w:rPr>
              <w:t>标段号</w:t>
            </w:r>
          </w:p>
        </w:tc>
        <w:tc>
          <w:tcPr>
            <w:tcW w:w="6942" w:type="dxa"/>
            <w:vAlign w:val="center"/>
          </w:tcPr>
          <w:p>
            <w:pPr>
              <w:spacing w:line="240" w:lineRule="auto"/>
              <w:jc w:val="center"/>
              <w:rPr>
                <w:rFonts w:ascii="宋体" w:hAnsi="宋体" w:cs="宋体"/>
                <w:b/>
                <w:snapToGrid w:val="0"/>
                <w:color w:val="auto"/>
                <w:szCs w:val="21"/>
                <w:highlight w:val="none"/>
              </w:rPr>
            </w:pPr>
            <w:r>
              <w:rPr>
                <w:rFonts w:hint="eastAsia" w:ascii="宋体" w:hAnsi="宋体" w:cs="宋体"/>
                <w:b/>
                <w:snapToGrid w:val="0"/>
                <w:color w:val="auto"/>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2072" w:type="dxa"/>
            <w:vAlign w:val="center"/>
          </w:tcPr>
          <w:p>
            <w:pPr>
              <w:spacing w:line="24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DMTSB</w:t>
            </w:r>
          </w:p>
        </w:tc>
        <w:tc>
          <w:tcPr>
            <w:tcW w:w="6942" w:type="dxa"/>
            <w:vAlign w:val="center"/>
          </w:tcPr>
          <w:p>
            <w:pPr>
              <w:spacing w:line="240" w:lineRule="auto"/>
              <w:rPr>
                <w:rFonts w:ascii="宋体" w:hAnsi="宋体" w:cs="宋体"/>
                <w:snapToGrid w:val="0"/>
                <w:color w:val="auto"/>
                <w:szCs w:val="21"/>
                <w:highlight w:val="none"/>
              </w:rPr>
            </w:pPr>
            <w:r>
              <w:rPr>
                <w:rFonts w:hint="eastAsia" w:ascii="宋体" w:hAnsi="宋体" w:cs="宋体"/>
                <w:snapToGrid w:val="0"/>
                <w:color w:val="auto"/>
                <w:szCs w:val="21"/>
                <w:highlight w:val="none"/>
              </w:rPr>
              <w:t>近三年（自2020年1月起）至少累计完成</w:t>
            </w:r>
            <w:r>
              <w:rPr>
                <w:rFonts w:hint="eastAsia" w:asciiTheme="minorEastAsia" w:hAnsiTheme="minorEastAsia" w:eastAsiaTheme="minorEastAsia" w:cstheme="minorEastAsia"/>
                <w:snapToGrid w:val="0"/>
                <w:color w:val="auto"/>
                <w:szCs w:val="21"/>
                <w:highlight w:val="none"/>
              </w:rPr>
              <w:t>1</w:t>
            </w:r>
            <w:r>
              <w:rPr>
                <w:rFonts w:hint="eastAsia" w:ascii="Arial" w:hAnsi="Arial" w:cs="Arial"/>
                <w:snapToGrid w:val="0"/>
                <w:color w:val="auto"/>
                <w:szCs w:val="21"/>
                <w:highlight w:val="none"/>
              </w:rPr>
              <w:t>个</w:t>
            </w:r>
            <w:r>
              <w:rPr>
                <w:rFonts w:hint="eastAsia" w:ascii="Arial" w:hAnsi="Arial" w:cs="Arial"/>
                <w:snapToGrid w:val="0"/>
                <w:color w:val="auto"/>
                <w:szCs w:val="21"/>
                <w:highlight w:val="none"/>
                <w:u w:val="single"/>
              </w:rPr>
              <w:t>多媒体会议室</w:t>
            </w:r>
            <w:r>
              <w:rPr>
                <w:rFonts w:hint="eastAsia" w:ascii="Arial" w:hAnsi="Arial" w:cs="Arial"/>
                <w:snapToGrid w:val="0"/>
                <w:color w:val="auto"/>
                <w:szCs w:val="21"/>
                <w:highlight w:val="none"/>
              </w:rPr>
              <w:t>设备的销售合同，且单个合同金额不小于</w:t>
            </w:r>
            <w:r>
              <w:rPr>
                <w:rFonts w:hint="eastAsia" w:asciiTheme="minorEastAsia" w:hAnsiTheme="minorEastAsia" w:eastAsiaTheme="minorEastAsia" w:cstheme="minorEastAsia"/>
                <w:snapToGrid w:val="0"/>
                <w:color w:val="auto"/>
                <w:szCs w:val="21"/>
                <w:highlight w:val="none"/>
              </w:rPr>
              <w:t>25万元</w:t>
            </w:r>
            <w:r>
              <w:rPr>
                <w:rFonts w:hint="eastAsia" w:ascii="宋体" w:hAnsi="宋体" w:cs="宋体"/>
                <w:snapToGrid w:val="0"/>
                <w:color w:val="auto"/>
                <w:szCs w:val="21"/>
                <w:highlight w:val="none"/>
              </w:rPr>
              <w:t>。</w:t>
            </w:r>
          </w:p>
          <w:p>
            <w:pPr>
              <w:spacing w:line="240" w:lineRule="auto"/>
              <w:rPr>
                <w:rFonts w:ascii="宋体" w:hAnsi="宋体" w:cs="宋体"/>
                <w:snapToGrid w:val="0"/>
                <w:color w:val="auto"/>
                <w:szCs w:val="21"/>
                <w:highlight w:val="none"/>
              </w:rPr>
            </w:pPr>
            <w:r>
              <w:rPr>
                <w:rFonts w:hint="eastAsia" w:ascii="宋体" w:hAnsi="宋体" w:cs="宋体"/>
                <w:bCs/>
                <w:color w:val="auto"/>
                <w:kern w:val="2"/>
                <w:szCs w:val="21"/>
                <w:highlight w:val="none"/>
              </w:rPr>
              <w:t>业绩证明均需提供合同（包括签订合同的首页、项目名称、简介所在页及金额页、签字盖章页等关键页）的复印件并加盖比选申请人单位公章；业绩时间以合同签订时间为准。</w:t>
            </w:r>
          </w:p>
        </w:tc>
      </w:tr>
    </w:tbl>
    <w:p>
      <w:pPr>
        <w:spacing w:before="120" w:beforeLines="50"/>
        <w:ind w:firstLine="360"/>
        <w:rPr>
          <w:rFonts w:ascii="宋体" w:hAnsi="宋体" w:cs="宋体"/>
          <w:iCs/>
          <w:snapToGrid w:val="0"/>
          <w:color w:val="auto"/>
          <w:sz w:val="18"/>
          <w:szCs w:val="18"/>
          <w:highlight w:val="none"/>
        </w:rPr>
      </w:pPr>
      <w:r>
        <w:rPr>
          <w:rFonts w:hint="eastAsia" w:ascii="宋体" w:hAnsi="宋体" w:cs="宋体"/>
          <w:iCs/>
          <w:snapToGrid w:val="0"/>
          <w:color w:val="auto"/>
          <w:sz w:val="18"/>
          <w:szCs w:val="18"/>
          <w:highlight w:val="none"/>
        </w:rPr>
        <w:t>注：1、比选申请人如不满足上述条件，将被认为不响应比选人强制性要求，</w:t>
      </w:r>
      <w:r>
        <w:rPr>
          <w:rFonts w:hint="eastAsia" w:ascii="宋体" w:hAnsi="宋体" w:cs="宋体"/>
          <w:color w:val="auto"/>
          <w:sz w:val="18"/>
          <w:szCs w:val="18"/>
          <w:highlight w:val="none"/>
        </w:rPr>
        <w:t>其比选申请无效</w:t>
      </w:r>
      <w:r>
        <w:rPr>
          <w:rFonts w:hint="eastAsia" w:ascii="宋体" w:hAnsi="宋体" w:cs="宋体"/>
          <w:iCs/>
          <w:snapToGrid w:val="0"/>
          <w:color w:val="auto"/>
          <w:sz w:val="18"/>
          <w:szCs w:val="18"/>
          <w:highlight w:val="none"/>
        </w:rPr>
        <w:t>。</w:t>
      </w:r>
    </w:p>
    <w:p>
      <w:pPr>
        <w:ind w:firstLine="363" w:firstLineChars="202"/>
        <w:rPr>
          <w:rFonts w:ascii="宋体" w:hAnsi="宋体" w:cs="宋体"/>
          <w:iCs/>
          <w:snapToGrid w:val="0"/>
          <w:color w:val="auto"/>
          <w:sz w:val="18"/>
          <w:szCs w:val="18"/>
          <w:highlight w:val="none"/>
        </w:rPr>
      </w:pPr>
      <w:r>
        <w:rPr>
          <w:rFonts w:hint="eastAsia" w:ascii="宋体" w:hAnsi="宋体" w:cs="宋体"/>
          <w:iCs/>
          <w:snapToGrid w:val="0"/>
          <w:color w:val="auto"/>
          <w:sz w:val="18"/>
          <w:szCs w:val="18"/>
          <w:highlight w:val="none"/>
        </w:rPr>
        <w:t>2、近3年业绩指合同签订时间在</w:t>
      </w:r>
      <w:r>
        <w:rPr>
          <w:rFonts w:hint="eastAsia" w:ascii="宋体" w:hAnsi="宋体" w:cs="宋体"/>
          <w:iCs/>
          <w:snapToGrid w:val="0"/>
          <w:color w:val="auto"/>
          <w:sz w:val="18"/>
          <w:szCs w:val="18"/>
          <w:highlight w:val="none"/>
          <w:u w:val="single"/>
        </w:rPr>
        <w:t>比选申请人须知前附表3.5.3款规定时间之间</w:t>
      </w:r>
      <w:r>
        <w:rPr>
          <w:rFonts w:hint="eastAsia" w:ascii="宋体" w:hAnsi="宋体" w:cs="宋体"/>
          <w:iCs/>
          <w:snapToGrid w:val="0"/>
          <w:color w:val="auto"/>
          <w:sz w:val="18"/>
          <w:szCs w:val="18"/>
          <w:highlight w:val="none"/>
        </w:rPr>
        <w:t>，且成功完成的合同。</w:t>
      </w:r>
    </w:p>
    <w:p>
      <w:pPr>
        <w:ind w:firstLine="363" w:firstLineChars="202"/>
        <w:rPr>
          <w:rFonts w:ascii="宋体" w:hAnsi="宋体" w:cs="宋体"/>
          <w:iCs/>
          <w:snapToGrid w:val="0"/>
          <w:color w:val="auto"/>
          <w:sz w:val="18"/>
          <w:szCs w:val="18"/>
          <w:highlight w:val="none"/>
        </w:rPr>
      </w:pPr>
      <w:r>
        <w:rPr>
          <w:rFonts w:hint="eastAsia" w:ascii="宋体" w:hAnsi="宋体" w:cs="宋体"/>
          <w:iCs/>
          <w:snapToGrid w:val="0"/>
          <w:color w:val="auto"/>
          <w:sz w:val="18"/>
          <w:szCs w:val="18"/>
          <w:highlight w:val="none"/>
        </w:rPr>
        <w:t>3、比选申请人提供业绩应按近年完成的类似项目情况表要求填写。</w:t>
      </w:r>
    </w:p>
    <w:p>
      <w:pPr>
        <w:spacing w:before="120" w:beforeLines="50" w:line="276" w:lineRule="auto"/>
        <w:ind w:firstLine="360"/>
        <w:rPr>
          <w:rFonts w:ascii="宋体" w:hAnsi="宋体" w:cs="宋体"/>
          <w:iCs/>
          <w:snapToGrid w:val="0"/>
          <w:color w:val="auto"/>
          <w:sz w:val="18"/>
          <w:szCs w:val="18"/>
          <w:highlight w:val="none"/>
        </w:rPr>
      </w:pPr>
    </w:p>
    <w:p>
      <w:pPr>
        <w:spacing w:line="400" w:lineRule="exact"/>
        <w:jc w:val="center"/>
        <w:rPr>
          <w:rFonts w:ascii="宋体" w:hAnsi="宋体" w:cs="宋体"/>
          <w:b/>
          <w:bCs/>
          <w:snapToGrid w:val="0"/>
          <w:color w:val="auto"/>
          <w:highlight w:val="none"/>
        </w:rPr>
      </w:pPr>
      <w:r>
        <w:rPr>
          <w:rFonts w:hint="eastAsia" w:ascii="宋体" w:hAnsi="宋体" w:cs="宋体"/>
          <w:b/>
          <w:bCs/>
          <w:snapToGrid w:val="0"/>
          <w:color w:val="auto"/>
          <w:highlight w:val="none"/>
        </w:rPr>
        <w:t>附录4  资格审查条件（信誉最低条件要求）</w:t>
      </w:r>
    </w:p>
    <w:tbl>
      <w:tblPr>
        <w:tblStyle w:val="37"/>
        <w:tblW w:w="9090"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9090" w:type="dxa"/>
            <w:tcBorders>
              <w:top w:val="single" w:color="auto" w:sz="4" w:space="0"/>
              <w:left w:val="single" w:color="auto" w:sz="4" w:space="0"/>
              <w:bottom w:val="single" w:color="auto" w:sz="4" w:space="0"/>
              <w:right w:val="single" w:color="auto" w:sz="4" w:space="0"/>
            </w:tcBorders>
            <w:vAlign w:val="center"/>
          </w:tcPr>
          <w:p>
            <w:pPr>
              <w:pStyle w:val="74"/>
              <w:autoSpaceDE/>
              <w:autoSpaceDN/>
              <w:adjustRightInd/>
              <w:snapToGrid/>
              <w:spacing w:line="240" w:lineRule="auto"/>
              <w:ind w:left="0" w:firstLine="0"/>
              <w:textAlignment w:val="auto"/>
              <w:rPr>
                <w:rFonts w:ascii="宋体" w:hAnsi="宋体" w:cs="宋体"/>
                <w:b/>
                <w:snapToGrid w:val="0"/>
                <w:color w:val="auto"/>
                <w:spacing w:val="0"/>
                <w:kern w:val="0"/>
                <w:szCs w:val="21"/>
                <w:highlight w:val="none"/>
              </w:rPr>
            </w:pPr>
            <w:r>
              <w:rPr>
                <w:rFonts w:hint="eastAsia" w:ascii="宋体" w:hAnsi="宋体" w:cs="宋体"/>
                <w:b/>
                <w:snapToGrid w:val="0"/>
                <w:color w:val="auto"/>
                <w:spacing w:val="0"/>
                <w:kern w:val="0"/>
                <w:szCs w:val="21"/>
                <w:highlight w:val="none"/>
              </w:rPr>
              <w:t>信誉情况要求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984" w:hRule="atLeast"/>
        </w:trPr>
        <w:tc>
          <w:tcPr>
            <w:tcW w:w="909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zh-CN"/>
              </w:rPr>
              <w:t>、在</w:t>
            </w:r>
            <w:r>
              <w:rPr>
                <w:rFonts w:hint="eastAsia" w:ascii="宋体" w:hAnsi="宋体" w:cs="宋体"/>
                <w:color w:val="auto"/>
                <w:highlight w:val="none"/>
              </w:rPr>
              <w:t>“</w:t>
            </w:r>
            <w:r>
              <w:rPr>
                <w:rFonts w:hint="eastAsia" w:ascii="宋体" w:hAnsi="宋体" w:cs="宋体"/>
                <w:color w:val="auto"/>
                <w:highlight w:val="none"/>
                <w:lang w:val="zh-CN"/>
              </w:rPr>
              <w:t>信用中国</w:t>
            </w:r>
            <w:r>
              <w:rPr>
                <w:rFonts w:hint="eastAsia" w:ascii="宋体" w:hAnsi="宋体" w:cs="宋体"/>
                <w:color w:val="auto"/>
                <w:highlight w:val="none"/>
              </w:rPr>
              <w:t>”</w:t>
            </w:r>
            <w:r>
              <w:rPr>
                <w:rFonts w:hint="eastAsia" w:ascii="宋体" w:hAnsi="宋体" w:cs="宋体"/>
                <w:color w:val="auto"/>
                <w:highlight w:val="none"/>
                <w:lang w:val="zh-CN"/>
              </w:rPr>
              <w:t>网站</w:t>
            </w:r>
            <w:r>
              <w:rPr>
                <w:rFonts w:hint="eastAsia" w:ascii="宋体" w:hAnsi="宋体" w:cs="宋体"/>
                <w:color w:val="auto"/>
                <w:highlight w:val="none"/>
              </w:rPr>
              <w:t>（http：//www.creditchina.gov.cn/）</w:t>
            </w:r>
            <w:r>
              <w:rPr>
                <w:rFonts w:hint="eastAsia" w:ascii="宋体" w:hAnsi="宋体" w:cs="宋体"/>
                <w:color w:val="auto"/>
                <w:highlight w:val="none"/>
                <w:lang w:val="zh-CN"/>
              </w:rPr>
              <w:t>中被列入失信被执行人名单的比选申请人</w:t>
            </w:r>
            <w:r>
              <w:rPr>
                <w:rFonts w:hint="eastAsia" w:ascii="宋体" w:hAnsi="宋体" w:cs="宋体"/>
                <w:color w:val="auto"/>
                <w:highlight w:val="none"/>
              </w:rPr>
              <w:t>，</w:t>
            </w:r>
            <w:r>
              <w:rPr>
                <w:rFonts w:hint="eastAsia" w:ascii="宋体" w:hAnsi="宋体" w:cs="宋体"/>
                <w:color w:val="auto"/>
                <w:highlight w:val="none"/>
                <w:lang w:val="zh-CN"/>
              </w:rPr>
              <w:t>不得参与比选申请。</w:t>
            </w:r>
          </w:p>
          <w:p>
            <w:pPr>
              <w:spacing w:line="240" w:lineRule="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zh-CN"/>
              </w:rPr>
              <w:t>、在国家企业信用信息公示系统</w:t>
            </w:r>
            <w:r>
              <w:rPr>
                <w:rFonts w:hint="eastAsia" w:ascii="宋体" w:hAnsi="宋体" w:cs="宋体"/>
                <w:color w:val="auto"/>
                <w:highlight w:val="none"/>
              </w:rPr>
              <w:t>（http：//www.gsxt.gov.cn）</w:t>
            </w:r>
            <w:r>
              <w:rPr>
                <w:rFonts w:hint="eastAsia" w:ascii="宋体" w:hAnsi="宋体" w:cs="宋体"/>
                <w:color w:val="auto"/>
                <w:highlight w:val="none"/>
                <w:lang w:val="zh-CN"/>
              </w:rPr>
              <w:t>中被列入严重违法失信企业名单的比选申请人</w:t>
            </w:r>
            <w:r>
              <w:rPr>
                <w:rFonts w:hint="eastAsia" w:ascii="宋体" w:hAnsi="宋体" w:cs="宋体"/>
                <w:color w:val="auto"/>
                <w:highlight w:val="none"/>
              </w:rPr>
              <w:t>，</w:t>
            </w:r>
            <w:r>
              <w:rPr>
                <w:rFonts w:hint="eastAsia" w:ascii="宋体" w:hAnsi="宋体" w:cs="宋体"/>
                <w:color w:val="auto"/>
                <w:highlight w:val="none"/>
                <w:lang w:val="zh-CN"/>
              </w:rPr>
              <w:t>不得参与比选申请。</w:t>
            </w:r>
          </w:p>
          <w:p>
            <w:pPr>
              <w:spacing w:line="240" w:lineRule="auto"/>
              <w:rPr>
                <w:rFonts w:ascii="宋体" w:hAnsi="宋体" w:cs="宋体"/>
                <w:color w:val="auto"/>
                <w:highlight w:val="none"/>
              </w:rPr>
            </w:pPr>
            <w:r>
              <w:rPr>
                <w:rFonts w:hint="eastAsia" w:ascii="宋体" w:hAnsi="宋体" w:cs="宋体"/>
                <w:color w:val="auto"/>
                <w:kern w:val="2"/>
                <w:szCs w:val="21"/>
                <w:highlight w:val="none"/>
              </w:rPr>
              <w:t>3、</w:t>
            </w:r>
            <w:r>
              <w:rPr>
                <w:rFonts w:hint="eastAsia" w:ascii="宋体" w:hAnsi="宋体" w:cs="宋体"/>
                <w:color w:val="auto"/>
                <w:szCs w:val="21"/>
                <w:highlight w:val="none"/>
              </w:rPr>
              <w:t>申请人（单位）及其法定代表人在2020年1月1日至</w:t>
            </w:r>
            <w:r>
              <w:rPr>
                <w:rFonts w:hint="eastAsia" w:ascii="宋体" w:hAnsi="宋体" w:cs="宋体"/>
                <w:color w:val="auto"/>
                <w:spacing w:val="-6"/>
                <w:szCs w:val="21"/>
                <w:highlight w:val="none"/>
              </w:rPr>
              <w:t>比选申请文件递交截止日</w:t>
            </w:r>
            <w:r>
              <w:rPr>
                <w:rFonts w:hint="eastAsia" w:ascii="宋体" w:hAnsi="宋体" w:cs="宋体"/>
                <w:color w:val="auto"/>
                <w:szCs w:val="21"/>
                <w:highlight w:val="none"/>
              </w:rPr>
              <w:t>期间有行贿犯罪行为，</w:t>
            </w:r>
            <w:r>
              <w:rPr>
                <w:rFonts w:hint="eastAsia" w:ascii="宋体" w:hAnsi="宋体" w:cs="宋体"/>
                <w:color w:val="auto"/>
                <w:highlight w:val="none"/>
                <w:lang w:val="zh-CN"/>
              </w:rPr>
              <w:t>不得参与比选申请</w:t>
            </w:r>
            <w:r>
              <w:rPr>
                <w:rFonts w:hint="eastAsia" w:ascii="宋体" w:hAnsi="宋体" w:cs="宋体"/>
                <w:color w:val="auto"/>
                <w:szCs w:val="21"/>
                <w:highlight w:val="none"/>
              </w:rPr>
              <w:t>。</w:t>
            </w:r>
          </w:p>
        </w:tc>
      </w:tr>
    </w:tbl>
    <w:p>
      <w:pPr>
        <w:spacing w:before="120" w:beforeLines="50"/>
        <w:ind w:firstLine="360"/>
        <w:rPr>
          <w:rFonts w:ascii="宋体" w:hAnsi="宋体" w:cs="宋体"/>
          <w:iCs/>
          <w:snapToGrid w:val="0"/>
          <w:color w:val="auto"/>
          <w:sz w:val="18"/>
          <w:szCs w:val="18"/>
          <w:highlight w:val="none"/>
        </w:rPr>
      </w:pPr>
      <w:r>
        <w:rPr>
          <w:rFonts w:hint="eastAsia" w:ascii="宋体" w:hAnsi="宋体" w:cs="宋体"/>
          <w:iCs/>
          <w:snapToGrid w:val="0"/>
          <w:color w:val="auto"/>
          <w:sz w:val="18"/>
          <w:szCs w:val="18"/>
          <w:highlight w:val="none"/>
        </w:rPr>
        <w:t>注：比选申请人如不满足上述条件，将被认为不响应比选人强制性要求，其比选申请无效。</w:t>
      </w:r>
    </w:p>
    <w:p>
      <w:pPr>
        <w:rPr>
          <w:rFonts w:ascii="宋体" w:hAnsi="宋体" w:cs="宋体"/>
          <w:iCs/>
          <w:snapToGrid w:val="0"/>
          <w:color w:val="auto"/>
          <w:sz w:val="18"/>
          <w:szCs w:val="18"/>
          <w:highlight w:val="none"/>
        </w:rPr>
      </w:pPr>
      <w:r>
        <w:rPr>
          <w:rFonts w:hint="eastAsia" w:ascii="宋体" w:hAnsi="宋体" w:cs="宋体"/>
          <w:iCs/>
          <w:snapToGrid w:val="0"/>
          <w:color w:val="auto"/>
          <w:sz w:val="18"/>
          <w:szCs w:val="18"/>
          <w:highlight w:val="none"/>
        </w:rPr>
        <w:br w:type="page"/>
      </w:r>
    </w:p>
    <w:p>
      <w:pPr>
        <w:pStyle w:val="5"/>
        <w:rPr>
          <w:rFonts w:ascii="宋体" w:hAnsi="宋体" w:eastAsia="宋体" w:cs="宋体"/>
          <w:color w:val="auto"/>
          <w:highlight w:val="none"/>
        </w:rPr>
      </w:pPr>
      <w:r>
        <w:rPr>
          <w:rFonts w:hint="eastAsia" w:ascii="宋体" w:hAnsi="宋体" w:eastAsia="宋体" w:cs="宋体"/>
          <w:color w:val="auto"/>
          <w:highlight w:val="none"/>
        </w:rPr>
        <w:t>比选申请人须知（正文）</w:t>
      </w:r>
    </w:p>
    <w:p>
      <w:pPr>
        <w:pStyle w:val="6"/>
        <w:adjustRightInd w:val="0"/>
        <w:snapToGrid w:val="0"/>
        <w:spacing w:before="0" w:after="0" w:line="360" w:lineRule="auto"/>
        <w:jc w:val="both"/>
        <w:rPr>
          <w:rFonts w:ascii="宋体" w:hAnsi="宋体" w:eastAsia="宋体" w:cs="宋体"/>
          <w:color w:val="auto"/>
          <w:highlight w:val="none"/>
        </w:rPr>
      </w:pPr>
      <w:r>
        <w:rPr>
          <w:rFonts w:hint="eastAsia" w:ascii="宋体" w:hAnsi="宋体" w:eastAsia="宋体" w:cs="宋体"/>
          <w:color w:val="auto"/>
          <w:highlight w:val="none"/>
        </w:rPr>
        <w:t>1.1比选项目概况</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1.1.1  本比选项目已具备招标条件，现对设备采购进行比选。</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1.1.2</w:t>
      </w:r>
      <w:r>
        <w:rPr>
          <w:rFonts w:hint="eastAsia" w:ascii="宋体" w:hAnsi="宋体" w:cs="宋体"/>
          <w:color w:val="auto"/>
          <w:spacing w:val="51"/>
          <w:highlight w:val="none"/>
        </w:rPr>
        <w:t xml:space="preserve"> </w:t>
      </w:r>
      <w:r>
        <w:rPr>
          <w:rFonts w:hint="eastAsia" w:ascii="宋体" w:hAnsi="宋体" w:cs="宋体"/>
          <w:color w:val="auto"/>
          <w:highlight w:val="none"/>
        </w:rPr>
        <w:t>比选人：见比选申请人须知前附表。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1.1.3 比选代理机构：见比选申请人须知前附表。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1.1.4 比选项目名称：见比选申请人须知前附表。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1.1.5 工程项目名称：即比选项目所属的工程建设项目，见比选申请人须知前附表。</w:t>
      </w:r>
    </w:p>
    <w:p>
      <w:pPr>
        <w:pStyle w:val="6"/>
        <w:adjustRightInd w:val="0"/>
        <w:snapToGrid w:val="0"/>
        <w:spacing w:before="0" w:after="0" w:line="360" w:lineRule="auto"/>
        <w:jc w:val="both"/>
        <w:rPr>
          <w:rFonts w:ascii="宋体" w:hAnsi="宋体" w:eastAsia="宋体" w:cs="宋体"/>
          <w:color w:val="auto"/>
          <w:highlight w:val="none"/>
        </w:rPr>
      </w:pPr>
      <w:bookmarkStart w:id="42" w:name="_bookmark22"/>
      <w:bookmarkEnd w:id="42"/>
      <w:r>
        <w:rPr>
          <w:rFonts w:hint="eastAsia" w:ascii="宋体" w:hAnsi="宋体" w:eastAsia="宋体" w:cs="宋体"/>
          <w:color w:val="auto"/>
          <w:highlight w:val="none"/>
        </w:rPr>
        <w:t>1.2 比选项目的资金来源和落实情况</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1.2.1资金来源及比例：见比选申请人须知前附表。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1.2.2 资金落实情况：见比选申请人须知前附表。</w:t>
      </w:r>
    </w:p>
    <w:p>
      <w:pPr>
        <w:pStyle w:val="6"/>
        <w:adjustRightInd w:val="0"/>
        <w:snapToGrid w:val="0"/>
        <w:spacing w:before="0" w:after="0" w:line="360" w:lineRule="auto"/>
        <w:jc w:val="both"/>
        <w:rPr>
          <w:rFonts w:ascii="宋体" w:hAnsi="宋体" w:eastAsia="宋体" w:cs="宋体"/>
          <w:color w:val="auto"/>
          <w:highlight w:val="none"/>
        </w:rPr>
      </w:pPr>
      <w:bookmarkStart w:id="43" w:name="_bookmark23"/>
      <w:bookmarkEnd w:id="43"/>
      <w:r>
        <w:rPr>
          <w:rFonts w:hint="eastAsia" w:ascii="宋体" w:hAnsi="宋体" w:eastAsia="宋体" w:cs="宋体"/>
          <w:color w:val="auto"/>
          <w:highlight w:val="none"/>
        </w:rPr>
        <w:t>1.3 比选范围、供货期、交货地点和技术性能指标</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1.3.1 比选范围：见比选申请人须知前附表。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1.3.2 供货期：见比选申请人须知前附表。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1.3.3 交货地点：见比选申请人须知前附表。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1.3.4 技术性能指标：见比选申请人须知前附表。</w:t>
      </w:r>
    </w:p>
    <w:p>
      <w:pPr>
        <w:pStyle w:val="6"/>
        <w:adjustRightInd w:val="0"/>
        <w:snapToGrid w:val="0"/>
        <w:spacing w:before="0" w:after="0" w:line="360" w:lineRule="auto"/>
        <w:jc w:val="both"/>
        <w:rPr>
          <w:rFonts w:ascii="宋体" w:hAnsi="宋体" w:eastAsia="宋体" w:cs="宋体"/>
          <w:color w:val="auto"/>
          <w:highlight w:val="none"/>
        </w:rPr>
      </w:pPr>
      <w:bookmarkStart w:id="44" w:name="_bookmark24"/>
      <w:bookmarkEnd w:id="44"/>
      <w:r>
        <w:rPr>
          <w:rFonts w:hint="eastAsia" w:ascii="宋体" w:hAnsi="宋体" w:eastAsia="宋体" w:cs="宋体"/>
          <w:color w:val="auto"/>
          <w:highlight w:val="none"/>
        </w:rPr>
        <w:t>1.4 比选申请人资格要求</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1.4.1 比选申请人应具备承担本比选项目资质条件、能力和信誉：</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（1）资质要求：见比选申请人须知前附表；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（2）财务要求：见比选申请人须知前附表；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（3）业绩要求：见比选申请人须知前附表；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（4）信誉要求：见比选申请人须知前附表；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5）其他要求：见比选申请人须知前附表。比选申请人为代理经销商的，对比选申请人的资质要求包含对制造商的资质要求，对比选申请人的业绩要求包含对比选申请设备的业绩要求。需要提交的相关证明材料见本章第</w:t>
      </w:r>
      <w:r>
        <w:rPr>
          <w:rFonts w:hint="eastAsia" w:ascii="宋体" w:hAnsi="宋体" w:cs="宋体"/>
          <w:color w:val="auto"/>
          <w:spacing w:val="-54"/>
          <w:highlight w:val="none"/>
        </w:rPr>
        <w:t xml:space="preserve"> </w:t>
      </w:r>
      <w:r>
        <w:rPr>
          <w:rFonts w:hint="eastAsia" w:ascii="宋体" w:hAnsi="宋体" w:cs="宋体"/>
          <w:color w:val="auto"/>
          <w:highlight w:val="none"/>
        </w:rPr>
        <w:t>3.5款的规定。</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1.4.2 比选申请人须知前附表规定接受联合体参加比选的，联合体除应符合本章第 1.4.1 项和比选申请人 须知前附表的要求外，还应遵守以下规定：（本项目不适用）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（1）联合体各方应按比选文件提供的格式签订联合体协议书，明确联合体牵头人和各方权利义务，并承诺就中选项目向比选人承担连带责任；</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（2）由同一专业的单位组成的联合体，按照资质等级较低的单位确定资质等级；</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（3）联合体各方不得再以自己名义单独或参加其他联合体在本比选项目中比选申请，否则各相关比选申请均无效。</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1.4.3 比选申请人不得存在下列情形之一：</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（1）与比选人存在利害关系且可能影响比选公正性；</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（2）与本比选项目的其他比选申请人为同一个单位负责人；</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（3）与本比选项目的其他比选申请人存在控股、管理关系；</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（4）与本比选项目其他比选申请人代理同一个制造商同一品牌同一型号的设备比选申请；</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（5）为本比选项目提供过设计、编制技术规范和其他文件的咨询服务；</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（6）为本工程项目的相关监理人，或者与本工程项目的相关监理人存在隶属关系或者其他利害关系；</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（7）为本比选项目的代建人；</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（8）为本比选项目的比选代理机构；</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（9）与本比选项目的监理人或代建人或比选代理机构同为一个法定代表人；</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（10）与本比选项目的监理人或代建人或比选代理机构存在控股或参股关系；</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（11）被依法暂停或者取消比选申请资格；</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（12）被责令停产停业、暂扣或者吊销许可证、暂扣或者吊销执照；</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（13）进入清算程序，或被宣告破产，或其他丧失履约能力的情形；</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（14）</w:t>
      </w:r>
      <w:r>
        <w:rPr>
          <w:rFonts w:hint="eastAsia" w:ascii="宋体" w:hAnsi="宋体" w:cs="宋体"/>
          <w:color w:val="auto"/>
          <w:highlight w:val="none"/>
          <w:lang w:val="zh-CN"/>
        </w:rPr>
        <w:t>在</w:t>
      </w:r>
      <w:r>
        <w:rPr>
          <w:rFonts w:hint="eastAsia" w:ascii="宋体" w:hAnsi="宋体" w:cs="宋体"/>
          <w:color w:val="auto"/>
          <w:highlight w:val="none"/>
        </w:rPr>
        <w:t>“</w:t>
      </w:r>
      <w:r>
        <w:rPr>
          <w:rFonts w:hint="eastAsia" w:ascii="宋体" w:hAnsi="宋体" w:cs="宋体"/>
          <w:color w:val="auto"/>
          <w:highlight w:val="none"/>
          <w:lang w:val="zh-CN"/>
        </w:rPr>
        <w:t>信用中国</w:t>
      </w:r>
      <w:r>
        <w:rPr>
          <w:rFonts w:hint="eastAsia" w:ascii="宋体" w:hAnsi="宋体" w:cs="宋体"/>
          <w:color w:val="auto"/>
          <w:highlight w:val="none"/>
        </w:rPr>
        <w:t>”</w:t>
      </w:r>
      <w:r>
        <w:rPr>
          <w:rFonts w:hint="eastAsia" w:ascii="宋体" w:hAnsi="宋体" w:cs="宋体"/>
          <w:color w:val="auto"/>
          <w:highlight w:val="none"/>
          <w:lang w:val="zh-CN"/>
        </w:rPr>
        <w:t>网站</w:t>
      </w:r>
      <w:r>
        <w:rPr>
          <w:rFonts w:hint="eastAsia" w:ascii="宋体" w:hAnsi="宋体" w:cs="宋体"/>
          <w:color w:val="auto"/>
          <w:highlight w:val="none"/>
        </w:rPr>
        <w:t>（http：//www.creditchina.gov.cn/）</w:t>
      </w:r>
      <w:r>
        <w:rPr>
          <w:rFonts w:hint="eastAsia" w:ascii="宋体" w:hAnsi="宋体" w:cs="宋体"/>
          <w:color w:val="auto"/>
          <w:highlight w:val="none"/>
          <w:lang w:val="zh-CN"/>
        </w:rPr>
        <w:t>中被列入失信被执行人名单</w:t>
      </w:r>
      <w:r>
        <w:rPr>
          <w:rFonts w:hint="eastAsia" w:ascii="宋体" w:hAnsi="宋体" w:cs="宋体"/>
          <w:color w:val="auto"/>
          <w:highlight w:val="none"/>
        </w:rPr>
        <w:t>；</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（15）</w:t>
      </w:r>
      <w:r>
        <w:rPr>
          <w:rFonts w:hint="eastAsia" w:ascii="宋体" w:hAnsi="宋体" w:cs="宋体"/>
          <w:color w:val="auto"/>
          <w:highlight w:val="none"/>
          <w:lang w:val="zh-CN"/>
        </w:rPr>
        <w:t>在国家企业信用信息公示系统</w:t>
      </w:r>
      <w:r>
        <w:rPr>
          <w:rFonts w:hint="eastAsia" w:ascii="宋体" w:hAnsi="宋体" w:cs="宋体"/>
          <w:color w:val="auto"/>
          <w:highlight w:val="none"/>
        </w:rPr>
        <w:t>（http：//www.gsxt.gov.cn）</w:t>
      </w:r>
      <w:r>
        <w:rPr>
          <w:rFonts w:hint="eastAsia" w:ascii="宋体" w:hAnsi="宋体" w:cs="宋体"/>
          <w:color w:val="auto"/>
          <w:highlight w:val="none"/>
          <w:lang w:val="zh-CN"/>
        </w:rPr>
        <w:t>中被列入严重违法失信企业名单</w:t>
      </w:r>
      <w:r>
        <w:rPr>
          <w:rFonts w:hint="eastAsia" w:ascii="宋体" w:hAnsi="宋体" w:cs="宋体"/>
          <w:color w:val="auto"/>
          <w:highlight w:val="none"/>
        </w:rPr>
        <w:t>；</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（16）</w:t>
      </w:r>
      <w:r>
        <w:rPr>
          <w:rFonts w:hint="eastAsia" w:ascii="宋体" w:hAnsi="宋体" w:cs="宋体"/>
          <w:color w:val="auto"/>
          <w:szCs w:val="21"/>
          <w:highlight w:val="none"/>
        </w:rPr>
        <w:t>申请人（单位）及其法定代表人在2020年1月1日至本次比选公告发布之日间有行贿犯罪行为</w:t>
      </w:r>
      <w:r>
        <w:rPr>
          <w:rFonts w:hint="eastAsia" w:ascii="宋体" w:hAnsi="宋体" w:cs="宋体"/>
          <w:color w:val="auto"/>
          <w:highlight w:val="none"/>
        </w:rPr>
        <w:t>；</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（17）法律法规或比选申请人须知前附表规定的其他情形。</w:t>
      </w:r>
    </w:p>
    <w:p>
      <w:pPr>
        <w:pStyle w:val="6"/>
        <w:adjustRightInd w:val="0"/>
        <w:snapToGrid w:val="0"/>
        <w:spacing w:before="0" w:after="0" w:line="360" w:lineRule="auto"/>
        <w:jc w:val="both"/>
        <w:rPr>
          <w:rFonts w:ascii="宋体" w:hAnsi="宋体" w:eastAsia="宋体" w:cs="宋体"/>
          <w:color w:val="auto"/>
          <w:highlight w:val="none"/>
        </w:rPr>
      </w:pPr>
      <w:bookmarkStart w:id="45" w:name="_bookmark25"/>
      <w:bookmarkEnd w:id="45"/>
      <w:r>
        <w:rPr>
          <w:rFonts w:hint="eastAsia" w:ascii="宋体" w:hAnsi="宋体" w:eastAsia="宋体" w:cs="宋体"/>
          <w:color w:val="auto"/>
          <w:highlight w:val="none"/>
        </w:rPr>
        <w:t>1.5 费用承担</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比选申请人准备和参加比选申请活动发生的费用自理。</w:t>
      </w:r>
    </w:p>
    <w:p>
      <w:pPr>
        <w:pStyle w:val="6"/>
        <w:adjustRightInd w:val="0"/>
        <w:snapToGrid w:val="0"/>
        <w:spacing w:before="0" w:after="0" w:line="360" w:lineRule="auto"/>
        <w:jc w:val="both"/>
        <w:rPr>
          <w:rFonts w:ascii="宋体" w:hAnsi="宋体" w:eastAsia="宋体" w:cs="宋体"/>
          <w:color w:val="auto"/>
          <w:highlight w:val="none"/>
        </w:rPr>
      </w:pPr>
      <w:bookmarkStart w:id="46" w:name="_bookmark26"/>
      <w:bookmarkEnd w:id="46"/>
      <w:r>
        <w:rPr>
          <w:rFonts w:hint="eastAsia" w:ascii="宋体" w:hAnsi="宋体" w:eastAsia="宋体" w:cs="宋体"/>
          <w:color w:val="auto"/>
          <w:highlight w:val="none"/>
        </w:rPr>
        <w:t>1.6 保密</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参与比选活动的各方应对比选文件和比选申请文件中的商业和技术等秘密保密，否则应承担相应的法律责任。</w:t>
      </w:r>
    </w:p>
    <w:p>
      <w:pPr>
        <w:pStyle w:val="6"/>
        <w:adjustRightInd w:val="0"/>
        <w:snapToGrid w:val="0"/>
        <w:spacing w:before="0" w:after="0" w:line="360" w:lineRule="auto"/>
        <w:jc w:val="both"/>
        <w:rPr>
          <w:rFonts w:ascii="宋体" w:hAnsi="宋体" w:eastAsia="宋体" w:cs="宋体"/>
          <w:color w:val="auto"/>
          <w:highlight w:val="none"/>
        </w:rPr>
      </w:pPr>
      <w:bookmarkStart w:id="47" w:name="_bookmark27"/>
      <w:bookmarkEnd w:id="47"/>
      <w:r>
        <w:rPr>
          <w:rFonts w:hint="eastAsia" w:ascii="宋体" w:hAnsi="宋体" w:eastAsia="宋体" w:cs="宋体"/>
          <w:color w:val="auto"/>
          <w:highlight w:val="none"/>
        </w:rPr>
        <w:t>1.7 语言文字</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比选文件、比选申请文件使用的语言文字为中文。专用术语使用外文的，应附有中文注释。</w:t>
      </w:r>
    </w:p>
    <w:p>
      <w:pPr>
        <w:pStyle w:val="6"/>
        <w:adjustRightInd w:val="0"/>
        <w:snapToGrid w:val="0"/>
        <w:spacing w:before="0" w:after="0" w:line="360" w:lineRule="auto"/>
        <w:jc w:val="both"/>
        <w:rPr>
          <w:rFonts w:ascii="宋体" w:hAnsi="宋体" w:eastAsia="宋体" w:cs="宋体"/>
          <w:color w:val="auto"/>
          <w:highlight w:val="none"/>
        </w:rPr>
      </w:pPr>
      <w:bookmarkStart w:id="48" w:name="_bookmark28"/>
      <w:bookmarkEnd w:id="48"/>
      <w:r>
        <w:rPr>
          <w:rFonts w:hint="eastAsia" w:ascii="宋体" w:hAnsi="宋体" w:eastAsia="宋体" w:cs="宋体"/>
          <w:color w:val="auto"/>
          <w:highlight w:val="none"/>
        </w:rPr>
        <w:t>1.8 计量单位</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所有计量均采用中华人民共和国法定计量单位。</w:t>
      </w:r>
    </w:p>
    <w:p>
      <w:pPr>
        <w:pStyle w:val="6"/>
        <w:adjustRightInd w:val="0"/>
        <w:snapToGrid w:val="0"/>
        <w:spacing w:before="0" w:after="0" w:line="360" w:lineRule="auto"/>
        <w:jc w:val="both"/>
        <w:rPr>
          <w:rFonts w:ascii="宋体" w:hAnsi="宋体" w:eastAsia="宋体" w:cs="宋体"/>
          <w:color w:val="auto"/>
          <w:highlight w:val="none"/>
        </w:rPr>
      </w:pPr>
      <w:bookmarkStart w:id="49" w:name="_bookmark29"/>
      <w:bookmarkEnd w:id="49"/>
      <w:r>
        <w:rPr>
          <w:rFonts w:hint="eastAsia" w:ascii="宋体" w:hAnsi="宋体" w:eastAsia="宋体" w:cs="宋体"/>
          <w:color w:val="auto"/>
          <w:highlight w:val="none"/>
        </w:rPr>
        <w:t>1.9 比选申请预备会</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1.9.1 比选申请人须知前附表规定召开比选申请预备会的，比选人按比选申请人须知前附表规定的时间和地点召开比选申请预备会，澄清比选申请人提出的问题。</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1.9.2 比选申请人应按比选申请人须知前附表规定的时间和形式将提出的问题送达比选人，以便比选人在会议期间澄清。</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1.9.3 比选申请预备会后，比选人将对比选申请人所提问题的澄清，以比选申请人须知前附表规定的形式通知所有潜在比选申请人。该澄清内容为比选文件的组成部分。</w:t>
      </w:r>
    </w:p>
    <w:p>
      <w:pPr>
        <w:pStyle w:val="6"/>
        <w:adjustRightInd w:val="0"/>
        <w:snapToGrid w:val="0"/>
        <w:spacing w:before="0" w:after="0" w:line="360" w:lineRule="auto"/>
        <w:jc w:val="both"/>
        <w:rPr>
          <w:rFonts w:ascii="宋体" w:hAnsi="宋体" w:eastAsia="宋体" w:cs="宋体"/>
          <w:color w:val="auto"/>
          <w:highlight w:val="none"/>
        </w:rPr>
      </w:pPr>
      <w:bookmarkStart w:id="50" w:name="_bookmark30"/>
      <w:bookmarkEnd w:id="50"/>
      <w:r>
        <w:rPr>
          <w:rFonts w:hint="eastAsia" w:ascii="宋体" w:hAnsi="宋体" w:eastAsia="宋体" w:cs="宋体"/>
          <w:color w:val="auto"/>
          <w:highlight w:val="none"/>
        </w:rPr>
        <w:t>1.10 分包（本项目不适用）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1.10.1 比选申请人拟在中选后将中选项目的非主体设备进行分包的，应符合比选申请人须知前附表规定的分包内容、分包金额和资质要求等限制性条件，除比选申请人须知前附表规定的非主体设备外，其他工作不得分包。</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1.10.2 中选人不得向他人转让中选项目，接受分包的人不得再次分包。中选人应当就分包项目向比选人负责，接受分包的人就分包项目承担连带责任。</w:t>
      </w:r>
    </w:p>
    <w:p>
      <w:pPr>
        <w:pStyle w:val="6"/>
        <w:adjustRightInd w:val="0"/>
        <w:snapToGrid w:val="0"/>
        <w:spacing w:before="0" w:after="0" w:line="360" w:lineRule="auto"/>
        <w:jc w:val="both"/>
        <w:rPr>
          <w:rFonts w:ascii="宋体" w:hAnsi="宋体" w:eastAsia="宋体" w:cs="宋体"/>
          <w:color w:val="auto"/>
          <w:highlight w:val="none"/>
        </w:rPr>
      </w:pPr>
      <w:bookmarkStart w:id="51" w:name="_bookmark31"/>
      <w:bookmarkEnd w:id="51"/>
      <w:r>
        <w:rPr>
          <w:rFonts w:hint="eastAsia" w:ascii="宋体" w:hAnsi="宋体" w:eastAsia="宋体" w:cs="宋体"/>
          <w:color w:val="auto"/>
          <w:highlight w:val="none"/>
        </w:rPr>
        <w:t>1.11 响应和偏差</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1.11.1 比选申请文件应当对比选文件的实质性要求和条件作出满足性或更有利于比选人的响应，否则，比选申请人的比选申请将被否决。实质性要求和条件见比选申请人须知前附表。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1.11.2 比选申请人应根据比选文件的要求提供比选申请设备技术性能指标的详细描述、技术支持资料及技术服务和质保期服务计划等内容以对比选文件作出响应。</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1.11.3 比选申请文件中应针对实质性要求和条件中列明的技术要求提供技术支持资料。技术支持资料以制造商公开发布的印刷资料，或检测机构出具的检测报告或比选申请人须知前附表允许的其他形式为准，不符合前述要求的，视为无技术支持资料，其比选申请将被否决。</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1.11.4 比选申请人须知前附表规定了可以偏差的范围和最高偏差项数的，偏差应当符合比选申请人须知前附表规定的偏差范围和最高项数，超出偏差范围和最高偏差项数的比选申请将被否决。</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1.11.5 比选申请文件对比选文件的全部偏差，均应在比选申请文件的商务和技术偏差表中列明，除列明的内容外，视为比选申请人响应比选文件的全部要求。</w:t>
      </w:r>
    </w:p>
    <w:p>
      <w:pPr>
        <w:pStyle w:val="5"/>
        <w:adjustRightInd w:val="0"/>
        <w:snapToGrid w:val="0"/>
        <w:spacing w:before="0" w:after="0" w:line="360" w:lineRule="auto"/>
        <w:rPr>
          <w:rFonts w:ascii="宋体" w:hAnsi="宋体" w:eastAsia="宋体" w:cs="宋体"/>
          <w:color w:val="auto"/>
          <w:sz w:val="30"/>
          <w:highlight w:val="none"/>
        </w:rPr>
      </w:pPr>
      <w:bookmarkStart w:id="52" w:name="_bookmark32"/>
      <w:bookmarkEnd w:id="52"/>
      <w:r>
        <w:rPr>
          <w:rFonts w:hint="eastAsia" w:ascii="宋体" w:hAnsi="宋体" w:eastAsia="宋体" w:cs="宋体"/>
          <w:color w:val="auto"/>
          <w:highlight w:val="none"/>
        </w:rPr>
        <w:t>2.  比选文件</w:t>
      </w:r>
    </w:p>
    <w:p>
      <w:pPr>
        <w:pStyle w:val="6"/>
        <w:adjustRightInd w:val="0"/>
        <w:snapToGrid w:val="0"/>
        <w:spacing w:before="0" w:after="0" w:line="360" w:lineRule="auto"/>
        <w:jc w:val="both"/>
        <w:rPr>
          <w:rFonts w:ascii="宋体" w:hAnsi="宋体" w:eastAsia="宋体" w:cs="宋体"/>
          <w:color w:val="auto"/>
          <w:highlight w:val="none"/>
        </w:rPr>
      </w:pPr>
      <w:bookmarkStart w:id="53" w:name="_bookmark33"/>
      <w:bookmarkEnd w:id="53"/>
      <w:r>
        <w:rPr>
          <w:rFonts w:hint="eastAsia" w:ascii="宋体" w:hAnsi="宋体" w:eastAsia="宋体" w:cs="宋体"/>
          <w:color w:val="auto"/>
          <w:highlight w:val="none"/>
        </w:rPr>
        <w:t>2.1  比选文件的组成</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本比选文件包括：</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pacing w:val="-3"/>
          <w:highlight w:val="none"/>
        </w:rPr>
        <w:t>）</w:t>
      </w:r>
      <w:r>
        <w:rPr>
          <w:rFonts w:hint="eastAsia" w:ascii="宋体" w:hAnsi="宋体" w:cs="宋体"/>
          <w:color w:val="auto"/>
          <w:highlight w:val="none"/>
        </w:rPr>
        <w:t>比选公</w:t>
      </w:r>
      <w:r>
        <w:rPr>
          <w:rFonts w:hint="eastAsia" w:ascii="宋体" w:hAnsi="宋体" w:cs="宋体"/>
          <w:color w:val="auto"/>
          <w:spacing w:val="-3"/>
          <w:highlight w:val="none"/>
        </w:rPr>
        <w:t>告</w:t>
      </w:r>
      <w:r>
        <w:rPr>
          <w:rFonts w:hint="eastAsia" w:ascii="宋体" w:hAnsi="宋体" w:cs="宋体"/>
          <w:color w:val="auto"/>
          <w:highlight w:val="none"/>
        </w:rPr>
        <w:t>（</w:t>
      </w:r>
      <w:r>
        <w:rPr>
          <w:rFonts w:hint="eastAsia" w:ascii="宋体" w:hAnsi="宋体" w:cs="宋体"/>
          <w:color w:val="auto"/>
          <w:spacing w:val="-3"/>
          <w:highlight w:val="none"/>
        </w:rPr>
        <w:t>或</w:t>
      </w:r>
      <w:r>
        <w:rPr>
          <w:rFonts w:hint="eastAsia" w:ascii="宋体" w:hAnsi="宋体" w:cs="宋体"/>
          <w:color w:val="auto"/>
          <w:highlight w:val="none"/>
        </w:rPr>
        <w:t>比选</w:t>
      </w:r>
      <w:r>
        <w:rPr>
          <w:rFonts w:hint="eastAsia" w:ascii="宋体" w:hAnsi="宋体" w:cs="宋体"/>
          <w:color w:val="auto"/>
          <w:spacing w:val="-3"/>
          <w:highlight w:val="none"/>
        </w:rPr>
        <w:t>邀</w:t>
      </w:r>
      <w:r>
        <w:rPr>
          <w:rFonts w:hint="eastAsia" w:ascii="宋体" w:hAnsi="宋体" w:cs="宋体"/>
          <w:color w:val="auto"/>
          <w:highlight w:val="none"/>
        </w:rPr>
        <w:t>请书</w:t>
      </w:r>
      <w:r>
        <w:rPr>
          <w:rFonts w:hint="eastAsia" w:ascii="宋体" w:hAnsi="宋体" w:cs="宋体"/>
          <w:color w:val="auto"/>
          <w:spacing w:val="-108"/>
          <w:highlight w:val="none"/>
        </w:rPr>
        <w:t>）</w:t>
      </w:r>
      <w:r>
        <w:rPr>
          <w:rFonts w:hint="eastAsia" w:ascii="宋体" w:hAnsi="宋体" w:cs="宋体"/>
          <w:color w:val="auto"/>
          <w:highlight w:val="none"/>
        </w:rPr>
        <w:t>；</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（2）比选申请人须知；</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（3）评审办法；</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（4）合同条款及格式；</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（5）供货要求；</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（6）比选申请文件格式；</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（7）比选申请人须知前附表规定的其他资料。</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根据本章第</w:t>
      </w:r>
      <w:r>
        <w:rPr>
          <w:rFonts w:hint="eastAsia" w:ascii="宋体" w:hAnsi="宋体" w:cs="宋体"/>
          <w:color w:val="auto"/>
          <w:spacing w:val="-44"/>
          <w:highlight w:val="none"/>
        </w:rPr>
        <w:t xml:space="preserve"> </w:t>
      </w:r>
      <w:r>
        <w:rPr>
          <w:rFonts w:hint="eastAsia" w:ascii="宋体" w:hAnsi="宋体" w:cs="宋体"/>
          <w:color w:val="auto"/>
          <w:highlight w:val="none"/>
        </w:rPr>
        <w:t>1.9</w:t>
      </w:r>
      <w:r>
        <w:rPr>
          <w:rFonts w:hint="eastAsia" w:ascii="宋体" w:hAnsi="宋体" w:cs="宋体"/>
          <w:color w:val="auto"/>
          <w:spacing w:val="-4"/>
          <w:highlight w:val="none"/>
        </w:rPr>
        <w:t>款、第</w:t>
      </w:r>
      <w:r>
        <w:rPr>
          <w:rFonts w:hint="eastAsia" w:ascii="宋体" w:hAnsi="宋体" w:cs="宋体"/>
          <w:color w:val="auto"/>
          <w:spacing w:val="-43"/>
          <w:highlight w:val="none"/>
        </w:rPr>
        <w:t xml:space="preserve"> </w:t>
      </w:r>
      <w:r>
        <w:rPr>
          <w:rFonts w:hint="eastAsia" w:ascii="宋体" w:hAnsi="宋体" w:cs="宋体"/>
          <w:color w:val="auto"/>
          <w:highlight w:val="none"/>
        </w:rPr>
        <w:t>2.2款和第</w:t>
      </w:r>
      <w:r>
        <w:rPr>
          <w:rFonts w:hint="eastAsia" w:ascii="宋体" w:hAnsi="宋体" w:cs="宋体"/>
          <w:color w:val="auto"/>
          <w:spacing w:val="-44"/>
          <w:highlight w:val="none"/>
        </w:rPr>
        <w:t xml:space="preserve"> </w:t>
      </w:r>
      <w:r>
        <w:rPr>
          <w:rFonts w:hint="eastAsia" w:ascii="宋体" w:hAnsi="宋体" w:cs="宋体"/>
          <w:color w:val="auto"/>
          <w:highlight w:val="none"/>
        </w:rPr>
        <w:t>2.3</w:t>
      </w:r>
      <w:r>
        <w:rPr>
          <w:rFonts w:hint="eastAsia" w:ascii="宋体" w:hAnsi="宋体" w:cs="宋体"/>
          <w:color w:val="auto"/>
          <w:spacing w:val="-3"/>
          <w:highlight w:val="none"/>
        </w:rPr>
        <w:t>款对比选文件所作的澄清、修改，构成比选文件的组</w:t>
      </w:r>
      <w:r>
        <w:rPr>
          <w:rFonts w:hint="eastAsia" w:ascii="宋体" w:hAnsi="宋体" w:cs="宋体"/>
          <w:color w:val="auto"/>
          <w:highlight w:val="none"/>
        </w:rPr>
        <w:t>成部分。</w:t>
      </w:r>
    </w:p>
    <w:p>
      <w:pPr>
        <w:pStyle w:val="6"/>
        <w:adjustRightInd w:val="0"/>
        <w:snapToGrid w:val="0"/>
        <w:spacing w:before="0" w:after="0" w:line="360" w:lineRule="auto"/>
        <w:jc w:val="both"/>
        <w:rPr>
          <w:rFonts w:ascii="宋体" w:hAnsi="宋体" w:eastAsia="宋体" w:cs="宋体"/>
          <w:color w:val="auto"/>
          <w:highlight w:val="none"/>
        </w:rPr>
      </w:pPr>
      <w:bookmarkStart w:id="54" w:name="_bookmark34"/>
      <w:bookmarkEnd w:id="54"/>
      <w:r>
        <w:rPr>
          <w:rFonts w:hint="eastAsia" w:ascii="宋体" w:hAnsi="宋体" w:eastAsia="宋体" w:cs="宋体"/>
          <w:color w:val="auto"/>
          <w:highlight w:val="none"/>
        </w:rPr>
        <w:t>2.2 比选文件的澄清</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 xml:space="preserve">2.2.1 </w:t>
      </w:r>
      <w:r>
        <w:rPr>
          <w:rFonts w:hint="eastAsia" w:ascii="宋体" w:hAnsi="宋体" w:cs="宋体"/>
          <w:color w:val="auto"/>
          <w:spacing w:val="-4"/>
          <w:highlight w:val="none"/>
        </w:rPr>
        <w:t>比选申请人应仔细阅读和检查比选文件的全部内容。如发现缺页或附件不全，应及时向比选人</w:t>
      </w:r>
      <w:r>
        <w:rPr>
          <w:rFonts w:hint="eastAsia" w:ascii="宋体" w:hAnsi="宋体" w:cs="宋体"/>
          <w:color w:val="auto"/>
          <w:spacing w:val="-1"/>
          <w:highlight w:val="none"/>
        </w:rPr>
        <w:t>提出，以便补齐。如有疑问，应按比选申请人须知前附表规定的时间和形式将提出的问题送达</w:t>
      </w:r>
      <w:r>
        <w:rPr>
          <w:rFonts w:hint="eastAsia" w:ascii="宋体" w:hAnsi="宋体" w:cs="宋体"/>
          <w:color w:val="auto"/>
          <w:highlight w:val="none"/>
        </w:rPr>
        <w:t>比选人，要求比选人对比选文件予以澄清。</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2.2.2 比选文件的澄清以比选申请人须知前附表规定的形式发给所有潜在比选申请人，但不指明澄清问题的来源。澄清发出的时间距本章第 4.2.1 项规定的比选申请截止时间不足</w:t>
      </w:r>
      <w:r>
        <w:rPr>
          <w:rFonts w:hint="eastAsia" w:ascii="宋体" w:hAnsi="宋体" w:cs="宋体"/>
          <w:color w:val="auto"/>
          <w:spacing w:val="-75"/>
          <w:highlight w:val="none"/>
        </w:rPr>
        <w:t>1</w:t>
      </w:r>
      <w:r>
        <w:rPr>
          <w:rFonts w:hint="eastAsia" w:ascii="宋体" w:hAnsi="宋体" w:cs="宋体"/>
          <w:color w:val="auto"/>
          <w:spacing w:val="-3"/>
          <w:highlight w:val="none"/>
        </w:rPr>
        <w:t>日的，</w:t>
      </w:r>
      <w:r>
        <w:rPr>
          <w:rFonts w:hint="eastAsia" w:ascii="宋体" w:hAnsi="宋体" w:cs="宋体"/>
          <w:color w:val="auto"/>
          <w:highlight w:val="none"/>
        </w:rPr>
        <w:t>并且澄清内容可能影响比选申请文件编制的，将相应延长比选申请截止时间。</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2.2.3 比选申请人在收到澄清后，应按比选申请人须知前附表规定的时间和形式通知比选人，确认已收到该澄清。</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2.2.4 除非比选人认为确有必要答复，否则，比选人有权拒绝回复比选申请人在本章第 2.2.1 项规定的时间后的任何澄清要求。</w:t>
      </w:r>
    </w:p>
    <w:p>
      <w:pPr>
        <w:pStyle w:val="6"/>
        <w:adjustRightInd w:val="0"/>
        <w:snapToGrid w:val="0"/>
        <w:spacing w:before="0" w:after="0" w:line="360" w:lineRule="auto"/>
        <w:jc w:val="both"/>
        <w:rPr>
          <w:rFonts w:ascii="宋体" w:hAnsi="宋体" w:eastAsia="宋体" w:cs="宋体"/>
          <w:color w:val="auto"/>
          <w:highlight w:val="none"/>
        </w:rPr>
      </w:pPr>
      <w:bookmarkStart w:id="55" w:name="_bookmark35"/>
      <w:bookmarkEnd w:id="55"/>
      <w:r>
        <w:rPr>
          <w:rFonts w:hint="eastAsia" w:ascii="宋体" w:hAnsi="宋体" w:eastAsia="宋体" w:cs="宋体"/>
          <w:color w:val="auto"/>
          <w:highlight w:val="none"/>
        </w:rPr>
        <w:t>2.3 比选文件的修改</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2.3.1 比选人以比选申请人须知前附表规定的形式修改比选文件，并通知所有潜在比选申请人。修改比选文件的时间距本章第 4.2.1 项规定的比选申请截止时间不足</w:t>
      </w:r>
      <w:r>
        <w:rPr>
          <w:rFonts w:hint="eastAsia" w:ascii="宋体" w:hAnsi="宋体" w:cs="宋体"/>
          <w:color w:val="auto"/>
          <w:spacing w:val="-82"/>
          <w:highlight w:val="none"/>
        </w:rPr>
        <w:t xml:space="preserve"> </w:t>
      </w:r>
      <w:r>
        <w:rPr>
          <w:rFonts w:hint="eastAsia" w:ascii="宋体" w:hAnsi="宋体" w:cs="宋体"/>
          <w:color w:val="auto"/>
          <w:highlight w:val="none"/>
        </w:rPr>
        <w:t>1日的，并且修改内容可能影响比选申请文件编制的，将相应延长比选申请截止时间。</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2.3.2 比选申请人收到修改内容后，应按比选申请人须知前附表规定的时间和形式通知比选人，确认已收到该修改。</w:t>
      </w:r>
    </w:p>
    <w:p>
      <w:pPr>
        <w:pStyle w:val="6"/>
        <w:adjustRightInd w:val="0"/>
        <w:snapToGrid w:val="0"/>
        <w:spacing w:before="0" w:after="0" w:line="360" w:lineRule="auto"/>
        <w:jc w:val="both"/>
        <w:rPr>
          <w:rFonts w:ascii="宋体" w:hAnsi="宋体" w:eastAsia="宋体" w:cs="宋体"/>
          <w:color w:val="auto"/>
          <w:highlight w:val="none"/>
        </w:rPr>
      </w:pPr>
      <w:bookmarkStart w:id="56" w:name="_bookmark36"/>
      <w:bookmarkEnd w:id="56"/>
      <w:r>
        <w:rPr>
          <w:rFonts w:hint="eastAsia" w:ascii="宋体" w:hAnsi="宋体" w:eastAsia="宋体" w:cs="宋体"/>
          <w:color w:val="auto"/>
          <w:highlight w:val="none"/>
        </w:rPr>
        <w:t>2.4 比选文件的异议</w:t>
      </w:r>
    </w:p>
    <w:p>
      <w:pPr>
        <w:pStyle w:val="19"/>
        <w:adjustRightInd w:val="0"/>
        <w:snapToGrid w:val="0"/>
        <w:spacing w:after="0"/>
        <w:ind w:firstLine="404" w:firstLineChars="200"/>
        <w:jc w:val="both"/>
        <w:rPr>
          <w:rFonts w:ascii="宋体" w:hAnsi="宋体" w:cs="宋体"/>
          <w:color w:val="auto"/>
          <w:highlight w:val="none"/>
        </w:rPr>
      </w:pPr>
      <w:r>
        <w:rPr>
          <w:rFonts w:hint="eastAsia" w:ascii="宋体" w:hAnsi="宋体" w:cs="宋体"/>
          <w:color w:val="auto"/>
          <w:spacing w:val="-4"/>
          <w:highlight w:val="none"/>
        </w:rPr>
        <w:t>比选申请人或者其他利害关系人对比选文件有异议的，应当在比选申请截止时间2</w:t>
      </w:r>
      <w:r>
        <w:rPr>
          <w:rFonts w:hint="eastAsia" w:ascii="宋体" w:hAnsi="宋体" w:cs="宋体"/>
          <w:color w:val="auto"/>
          <w:highlight w:val="none"/>
        </w:rPr>
        <w:t>日前以书面形式提出。比选人将在收到异议之日起</w:t>
      </w:r>
      <w:r>
        <w:rPr>
          <w:rFonts w:hint="eastAsia" w:ascii="宋体" w:hAnsi="宋体" w:cs="宋体"/>
          <w:color w:val="auto"/>
          <w:spacing w:val="-58"/>
          <w:highlight w:val="none"/>
        </w:rPr>
        <w:t xml:space="preserve"> </w:t>
      </w:r>
      <w:r>
        <w:rPr>
          <w:rFonts w:hint="eastAsia" w:ascii="宋体" w:hAnsi="宋体" w:cs="宋体"/>
          <w:color w:val="auto"/>
          <w:highlight w:val="none"/>
        </w:rPr>
        <w:t>2日内作出答复。</w:t>
      </w:r>
    </w:p>
    <w:p>
      <w:pPr>
        <w:pStyle w:val="5"/>
        <w:adjustRightInd w:val="0"/>
        <w:snapToGrid w:val="0"/>
        <w:spacing w:before="0" w:after="0" w:line="360" w:lineRule="auto"/>
        <w:rPr>
          <w:rFonts w:ascii="宋体" w:hAnsi="宋体" w:eastAsia="宋体" w:cs="宋体"/>
          <w:color w:val="auto"/>
          <w:sz w:val="30"/>
          <w:highlight w:val="none"/>
        </w:rPr>
      </w:pPr>
      <w:bookmarkStart w:id="57" w:name="_bookmark37"/>
      <w:bookmarkEnd w:id="57"/>
      <w:r>
        <w:rPr>
          <w:rFonts w:hint="eastAsia" w:ascii="宋体" w:hAnsi="宋体" w:eastAsia="宋体" w:cs="宋体"/>
          <w:color w:val="auto"/>
          <w:highlight w:val="none"/>
        </w:rPr>
        <w:t>3.  比选申请文件</w:t>
      </w:r>
    </w:p>
    <w:p>
      <w:pPr>
        <w:pStyle w:val="6"/>
        <w:adjustRightInd w:val="0"/>
        <w:snapToGrid w:val="0"/>
        <w:spacing w:before="0" w:after="0" w:line="360" w:lineRule="auto"/>
        <w:jc w:val="both"/>
        <w:rPr>
          <w:rFonts w:ascii="宋体" w:hAnsi="宋体" w:eastAsia="宋体" w:cs="宋体"/>
          <w:color w:val="auto"/>
          <w:sz w:val="27"/>
          <w:highlight w:val="none"/>
        </w:rPr>
      </w:pPr>
      <w:bookmarkStart w:id="58" w:name="_bookmark38"/>
      <w:bookmarkEnd w:id="58"/>
      <w:r>
        <w:rPr>
          <w:rFonts w:hint="eastAsia" w:ascii="宋体" w:hAnsi="宋体" w:eastAsia="宋体" w:cs="宋体"/>
          <w:color w:val="auto"/>
          <w:highlight w:val="none"/>
        </w:rPr>
        <w:t>3.1 比选申请文件的组成</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3.1.1 比选申请文件应包括下列内容：</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（1）比选申请函；</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（2）法定代表人（单位负责人）身份证明或授权委托书；</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（3）联合体协议书（如有）；</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（4）比选申请保证金（如有）；</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（5）商务和技术偏差表（不要求，不允许偏差）；</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（6）分项报价表；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（7）资格审查资料；</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（8）设备技术性能指标的详细描述；</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（9）技术支持资料；</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（10）技术服务和质保期服务计划；</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（11）比选申请人须知前附表规定的其他资料。比选申请人在评标过程中作出的符合法律法规和比选文件规定的澄清确认，构成比选申请文件的组成部分。</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3.1.2 比选申请人须知前附表规定不接受联合体比选申请的，或比选申请人没有组成联合体的，比选申请文件不包括本章第</w:t>
      </w:r>
      <w:r>
        <w:rPr>
          <w:rFonts w:hint="eastAsia" w:ascii="宋体" w:hAnsi="宋体" w:cs="宋体"/>
          <w:color w:val="auto"/>
          <w:spacing w:val="-55"/>
          <w:highlight w:val="none"/>
        </w:rPr>
        <w:t xml:space="preserve"> </w:t>
      </w:r>
      <w:r>
        <w:rPr>
          <w:rFonts w:hint="eastAsia" w:ascii="宋体" w:hAnsi="宋体" w:cs="宋体"/>
          <w:color w:val="auto"/>
          <w:highlight w:val="none"/>
        </w:rPr>
        <w:t>3.1.1（3）目所指的联合体协议书。</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3.1.3 比选申请人须知前附表未要求提交比选申请保证金的，比选申请文件不包括本章第 3.1.1（4）目所指的比选申请保证金。</w:t>
      </w:r>
    </w:p>
    <w:p>
      <w:pPr>
        <w:pStyle w:val="6"/>
        <w:adjustRightInd w:val="0"/>
        <w:snapToGrid w:val="0"/>
        <w:spacing w:before="0" w:after="0" w:line="360" w:lineRule="auto"/>
        <w:jc w:val="both"/>
        <w:rPr>
          <w:rFonts w:ascii="宋体" w:hAnsi="宋体" w:eastAsia="宋体" w:cs="宋体"/>
          <w:color w:val="auto"/>
          <w:highlight w:val="none"/>
        </w:rPr>
      </w:pPr>
      <w:bookmarkStart w:id="59" w:name="_bookmark39"/>
      <w:bookmarkEnd w:id="59"/>
      <w:r>
        <w:rPr>
          <w:rFonts w:hint="eastAsia" w:ascii="宋体" w:hAnsi="宋体" w:eastAsia="宋体" w:cs="宋体"/>
          <w:color w:val="auto"/>
          <w:highlight w:val="none"/>
        </w:rPr>
        <w:t>3.2 比选申请报价</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3.2.1 比选申请报价应包括国家规定的增值税税金，除比选申请人须知前附表另有规定外，增值税税金按一般计税方法计算。比选申请人应按第六章“比选申请文件格式”的要求在比选申请函中进行报价并填写分项报价表。</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3.2.2 比选申请人应充分了解该项目的总体情况以及影响比选申请报价的其他要素。</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3.2.3 比选申请报价为各分项报价金额之和，比选申请报价与分项报价的合价不一致的，应以各分项合价累计数为准，修正比选申请报价；如分项报价中存在缺漏项，则视为缺漏项价格已包含在其他分项报价之中。比选申请人在比选申请截止时间前修改比选申请函中的比选申请报价总额，应同时修改比选申请文件 “分项报价表”中的相应报价。此修改须符合本章第 4.3 款的有关要求。</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3.2.4 比选人设有最高比选申请限价的，比选申请人的比选申请报价不得超过最高比选申请限价，最高比选申请限 价在比选申请人须知前附表中载明。</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3.2.5 比选申请报价的其他要求见比选申请人须知前附表。</w:t>
      </w:r>
    </w:p>
    <w:p>
      <w:pPr>
        <w:pStyle w:val="6"/>
        <w:adjustRightInd w:val="0"/>
        <w:snapToGrid w:val="0"/>
        <w:spacing w:before="0" w:after="0" w:line="360" w:lineRule="auto"/>
        <w:jc w:val="both"/>
        <w:rPr>
          <w:rFonts w:ascii="宋体" w:hAnsi="宋体" w:eastAsia="宋体" w:cs="宋体"/>
          <w:color w:val="auto"/>
          <w:sz w:val="27"/>
          <w:highlight w:val="none"/>
        </w:rPr>
      </w:pPr>
      <w:bookmarkStart w:id="60" w:name="_bookmark40"/>
      <w:bookmarkEnd w:id="60"/>
      <w:r>
        <w:rPr>
          <w:rFonts w:hint="eastAsia" w:ascii="宋体" w:hAnsi="宋体" w:eastAsia="宋体" w:cs="宋体"/>
          <w:color w:val="auto"/>
          <w:highlight w:val="none"/>
        </w:rPr>
        <w:t>3.3  比选申请有效期</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3.3.1 除比选申请人须知前附表另有规定外，比选申请有效期见比选申请人须知前附表3.3.1。</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3.3.2 在比选申请有效期内，比选申请人撤销比选申请文件的，应承担比选文件和法律规定的责任。</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3.3.3 出现特殊情况需要延长比选申请有效期的，比选人以书面形式通知所有比选申请人延长比选申请有效期。比选申请人应予以书面答复，同意延长的，应相应延长其比选申请保证金的有效期，但不得要求 或被允许修改其比选申请文件；比选申请人拒绝延长的，其比选申请失效，但比选申请人有权收回其比选申请保证金。</w:t>
      </w:r>
    </w:p>
    <w:p>
      <w:pPr>
        <w:pStyle w:val="6"/>
        <w:adjustRightInd w:val="0"/>
        <w:snapToGrid w:val="0"/>
        <w:spacing w:before="0" w:after="0" w:line="360" w:lineRule="auto"/>
        <w:jc w:val="both"/>
        <w:rPr>
          <w:rFonts w:ascii="宋体" w:hAnsi="宋体" w:eastAsia="宋体" w:cs="宋体"/>
          <w:color w:val="auto"/>
          <w:sz w:val="27"/>
          <w:highlight w:val="none"/>
        </w:rPr>
      </w:pPr>
      <w:bookmarkStart w:id="61" w:name="_bookmark41"/>
      <w:bookmarkEnd w:id="61"/>
      <w:r>
        <w:rPr>
          <w:rFonts w:hint="eastAsia" w:ascii="宋体" w:hAnsi="宋体" w:eastAsia="宋体" w:cs="宋体"/>
          <w:color w:val="auto"/>
          <w:highlight w:val="none"/>
        </w:rPr>
        <w:t>3.4  比选申请保证金</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3.4.1  比选申请人在递交比选申请文件的同时，应按比选申请人须知前附表规定的金额、形式和第六章“比选申请文件格式”规定的比选申请保证金格式递交比选申请保证金，并作为其比选申请文件的组成部分。境内比选申请人以现金或者支票形式提交的比选申请保证金，应当从其基本账户转出并在比选申请文件中附上基本账户开户证明。联合体比选申请的，其比选申请保证金可以由牵头人递交，并应符合比选申请人须知前附表的规定。</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3.4.2 比选申请人不按本章第 3.4.1 项要求提交比选申请保证金的，评审委员会将否决其比选申请。</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3.4.3 比选人最迟将在与中选人签订合同后 5 个工作日内，向未中选的比选申请人和中选人退还比选申请保证金。</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3.4.4 有下列情形之一的，比选申请保证金将不予退还：</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（1）比选申请人在比选申请有效期内撤销比选申请文件；</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（2）中选人在收到中选通知书后，无正当理由不与比选人订立合同，在签订合同时向比选人提出附加条件，或者不按照比选文件要求提交履约保证金；</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（3）发生比选申请人须知前附表规定的其他可以不予退还比选申请保证金的情形。</w:t>
      </w:r>
    </w:p>
    <w:p>
      <w:pPr>
        <w:pStyle w:val="6"/>
        <w:adjustRightInd w:val="0"/>
        <w:snapToGrid w:val="0"/>
        <w:spacing w:before="0" w:after="0" w:line="360" w:lineRule="auto"/>
        <w:jc w:val="both"/>
        <w:rPr>
          <w:rFonts w:ascii="宋体" w:hAnsi="宋体" w:eastAsia="宋体" w:cs="宋体"/>
          <w:color w:val="auto"/>
          <w:sz w:val="27"/>
          <w:highlight w:val="none"/>
        </w:rPr>
      </w:pPr>
      <w:bookmarkStart w:id="62" w:name="_bookmark43"/>
      <w:bookmarkEnd w:id="62"/>
      <w:bookmarkStart w:id="63" w:name="_bookmark42"/>
      <w:bookmarkEnd w:id="63"/>
      <w:r>
        <w:rPr>
          <w:rFonts w:hint="eastAsia" w:ascii="宋体" w:hAnsi="宋体" w:eastAsia="宋体" w:cs="宋体"/>
          <w:color w:val="auto"/>
          <w:highlight w:val="none"/>
        </w:rPr>
        <w:t>3.5</w:t>
      </w:r>
      <w:r>
        <w:rPr>
          <w:rFonts w:hint="eastAsia" w:ascii="宋体" w:hAnsi="宋体" w:eastAsia="宋体" w:cs="宋体"/>
          <w:color w:val="auto"/>
          <w:spacing w:val="68"/>
          <w:highlight w:val="none"/>
        </w:rPr>
        <w:t xml:space="preserve"> </w:t>
      </w:r>
      <w:r>
        <w:rPr>
          <w:rFonts w:hint="eastAsia" w:ascii="宋体" w:hAnsi="宋体" w:eastAsia="宋体" w:cs="宋体"/>
          <w:color w:val="auto"/>
          <w:highlight w:val="none"/>
        </w:rPr>
        <w:t>资格审查资料（适用于未进行资格预审的）</w:t>
      </w:r>
    </w:p>
    <w:p>
      <w:pPr>
        <w:pStyle w:val="19"/>
        <w:adjustRightInd w:val="0"/>
        <w:snapToGrid w:val="0"/>
        <w:spacing w:after="0"/>
        <w:ind w:firstLine="416" w:firstLineChars="200"/>
        <w:jc w:val="both"/>
        <w:rPr>
          <w:rFonts w:ascii="宋体" w:hAnsi="宋体" w:cs="宋体"/>
          <w:color w:val="auto"/>
          <w:szCs w:val="21"/>
          <w:highlight w:val="none"/>
        </w:rPr>
      </w:pPr>
      <w:r>
        <w:rPr>
          <w:rFonts w:hint="eastAsia" w:ascii="宋体" w:hAnsi="宋体" w:cs="宋体"/>
          <w:color w:val="auto"/>
          <w:spacing w:val="-1"/>
          <w:szCs w:val="21"/>
          <w:highlight w:val="none"/>
        </w:rPr>
        <w:t>除比选申请人须知前附表另有规定外，比选申请人应按下列规定提供资格审查资料，以证明其满足</w:t>
      </w:r>
      <w:r>
        <w:rPr>
          <w:rFonts w:hint="eastAsia" w:ascii="宋体" w:hAnsi="宋体" w:cs="宋体"/>
          <w:color w:val="auto"/>
          <w:szCs w:val="21"/>
          <w:highlight w:val="none"/>
        </w:rPr>
        <w:t>本章第</w:t>
      </w:r>
      <w:r>
        <w:rPr>
          <w:rFonts w:hint="eastAsia" w:ascii="宋体" w:hAnsi="宋体" w:cs="宋体"/>
          <w:color w:val="auto"/>
          <w:spacing w:val="-55"/>
          <w:szCs w:val="21"/>
          <w:highlight w:val="none"/>
        </w:rPr>
        <w:t xml:space="preserve"> </w:t>
      </w:r>
      <w:r>
        <w:rPr>
          <w:rFonts w:hint="eastAsia" w:ascii="宋体" w:hAnsi="宋体" w:cs="宋体"/>
          <w:color w:val="auto"/>
          <w:szCs w:val="21"/>
          <w:highlight w:val="none"/>
        </w:rPr>
        <w:t>1.4 款规定的资质、财务、业绩、信誉等要求。</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3.5.1 “比选申请人基本情况表”应附比选申请人及其制造商（适用于代理经销商比选申请的情形）资格或者资质证书副本和比选文件要求的设备检验或认证等材料的复印件以及：</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（1）比选申请人为企业的，应提交营业执照和组织机构代码证的复印件（按照“三证合一”或“五 证合一”登记制度进行登记的，可仅提供营业执照复印件）、基本账户开户许可证或基本账户信息表（基本账户开户行出具）复印件。以上证明材料盖比选申请人单位章；</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（2）比选申请人为依法允许经营的事业单位的，应提交事业单位法人证书和组织机构代码证的复印件盖比选申请人单位章。</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3.5.2 “近年财务状况表”应附经会计师事务所或审计机构审计的财务会计报表，包括资产负债表、现金流表、利润表（损益表）和财务情况说明书（或附注）的复印件盖比选申请人单位章，具体年份要求见比选申请人须知前附表。 比选申请人的成立时间少于比选申请人须知前附表规定年份的，应提供成立以来的财务状况表盖比选申请人单位章。</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3.5.3  “近年完成的类似项目业绩表”应附合同 （包括签订合同的首页、项目名称、简介所在页及金额、数量页、签字盖章页等关键页）的复印件并加盖比选申请人单位公章；业绩时间以合同签订时间为准。具体时间要求见比选申请人须知前附表。每张表格只填写一个项目，并标明序号。如近年来，比选申请人法人机构发生合法变更或重组或法人名称变更时，应提供相关部门的合法批件或其他相关证明材料来证明其所附业绩的继承性。</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3.5.4   \</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3.5.5 “比选申请人信誉情况表”应按表格要求逐条说明比选申请人信誉情况，具体时间要求见比选申请人须知前附表，并提供相关证明材料（在“信用中国”网站（http：//www.creditchina.gov.cn）中比选申请人（单位）失信被执行名单查询结果截图；在国家企业信用信息公示系统（http：//www.gsxt.gov.cn）中比选申请人（单位）“严重违法失信企业名单（黑名单）信息”的相关查询结果截图；在2020年1月1日至本项目比选申请截止日期间，比选申请人（单位）、法定代表人行贿犯罪的查询结果截图，以裁判文书网查询结果为准），证明材料应加盖比选申请人单位章。</w:t>
      </w:r>
    </w:p>
    <w:p>
      <w:pPr>
        <w:pStyle w:val="19"/>
        <w:adjustRightInd w:val="0"/>
        <w:snapToGrid w:val="0"/>
        <w:spacing w:after="0"/>
        <w:ind w:firstLine="416" w:firstLineChars="200"/>
        <w:jc w:val="both"/>
        <w:rPr>
          <w:rFonts w:ascii="宋体" w:hAnsi="宋体" w:cs="宋体"/>
          <w:color w:val="auto"/>
          <w:spacing w:val="-1"/>
          <w:szCs w:val="21"/>
          <w:highlight w:val="none"/>
        </w:rPr>
      </w:pPr>
      <w:r>
        <w:rPr>
          <w:rFonts w:hint="eastAsia" w:ascii="宋体" w:hAnsi="宋体" w:cs="宋体"/>
          <w:color w:val="auto"/>
          <w:spacing w:val="-1"/>
          <w:szCs w:val="21"/>
          <w:highlight w:val="none"/>
        </w:rPr>
        <w:t>3.5.6比选申请人须知前附表规定接受联合体比选申请的，本章第3.5.1项至第3.5.5项规定的表格和资料应包括联合体各方相关情况。</w:t>
      </w:r>
    </w:p>
    <w:p>
      <w:pPr>
        <w:pStyle w:val="6"/>
        <w:adjustRightInd w:val="0"/>
        <w:snapToGrid w:val="0"/>
        <w:spacing w:before="0" w:after="0" w:line="360" w:lineRule="auto"/>
        <w:jc w:val="both"/>
        <w:rPr>
          <w:rFonts w:ascii="宋体" w:hAnsi="宋体" w:eastAsia="宋体" w:cs="宋体"/>
          <w:color w:val="auto"/>
          <w:sz w:val="27"/>
          <w:highlight w:val="none"/>
        </w:rPr>
      </w:pPr>
      <w:bookmarkStart w:id="64" w:name="_bookmark44"/>
      <w:bookmarkEnd w:id="64"/>
      <w:r>
        <w:rPr>
          <w:rFonts w:hint="eastAsia" w:ascii="宋体" w:hAnsi="宋体" w:eastAsia="宋体" w:cs="宋体"/>
          <w:color w:val="auto"/>
          <w:highlight w:val="none"/>
        </w:rPr>
        <w:t>3.6</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备选比选申请方案(本项目不适用)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3.6.1 除比选申请人须知前附表规定允许外，比选申请人不得递交备选比选申请方案，否则其比选申请将被否决。</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3.6.2 允许比选申请人递交备选比选申请方案的，只有中选人所递交的备选比选申请方案方可予以考虑。 评审委员会认为中选人的备选比选申请方案优于其按照比选文件要求编制的比选申请方案的，比选人可以接受该备选比选申请方案。</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3.6.3 比选申请人提供两个或两个以上比选申请报价，或者在比选申请文件中提供一个报价，但同时提供两个或两个以上供货方案的，视为提供备选方案。</w:t>
      </w:r>
    </w:p>
    <w:p>
      <w:pPr>
        <w:pStyle w:val="6"/>
        <w:adjustRightInd w:val="0"/>
        <w:snapToGrid w:val="0"/>
        <w:spacing w:before="0" w:after="0" w:line="360" w:lineRule="auto"/>
        <w:jc w:val="both"/>
        <w:rPr>
          <w:rFonts w:ascii="宋体" w:hAnsi="宋体" w:eastAsia="宋体" w:cs="宋体"/>
          <w:color w:val="auto"/>
          <w:highlight w:val="none"/>
        </w:rPr>
      </w:pPr>
      <w:bookmarkStart w:id="65" w:name="_bookmark45"/>
      <w:bookmarkEnd w:id="65"/>
      <w:r>
        <w:rPr>
          <w:rFonts w:hint="eastAsia" w:ascii="宋体" w:hAnsi="宋体" w:eastAsia="宋体" w:cs="宋体"/>
          <w:color w:val="auto"/>
          <w:highlight w:val="none"/>
        </w:rPr>
        <w:t>3.7  比选申请文件的编制</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3.7.1 比选申请文件应按第六章“比选申请文件格式”进行编写，如有必要，可以增加附页，作为比选申请文件的组成部分。</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3.7.2 比选申请文件应当对比选文件有关供货期、比选申请有效期、供货要求、比选范围等实质性内 容作出响应。比选申请文件在满足比选文件实质性要求的基础上，可以提出比比选文件要求更有利于比选人的承诺。</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3.7.3（A）（1）比选申请文件应用不褪色的材料书写或打印，比选申请函及对比选申请文件的澄清、说明和补正应由比选申请人的法定代表人（单位负责人）或其授权的代理人签字或盖单位章。由比选申请人的法定代表人（单位负责人）签字的，应附法定代表人（单位负责人）身份证明，由代理人签字的，应附授权委托书，身份证明或授权委托书应符合第六章“比选申请文件格式”的要求。比选申请文件应尽量避免涂改、行间插字或删除。如果出现上述情况，改动之处应由比选申请人的法定代表人（单位负责人）或其授权的代理人签字或盖单位章。</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（2）比选申请文件正本一份，副本份数见比选申请人须知前附表。正本和副本的封面右上角上应清 楚地标记“正本”或“副本”的字样。比选申请人应根据比选申请人须知前附表要求提供电子版文件。当副本和正本不一致或电子版文件和纸质正本文件不一致时，以纸质正本文件为准。</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（3）比选申请文件的正本与副本应分别装订，并编制目录，比选申请文件需分册装订的，具体分册装订要求见比选申请人须知前附表规定。</w:t>
      </w:r>
    </w:p>
    <w:p>
      <w:pPr>
        <w:pStyle w:val="5"/>
        <w:adjustRightInd w:val="0"/>
        <w:snapToGrid w:val="0"/>
        <w:spacing w:before="0" w:after="0" w:line="360" w:lineRule="auto"/>
        <w:rPr>
          <w:rFonts w:ascii="宋体" w:hAnsi="宋体" w:eastAsia="宋体" w:cs="宋体"/>
          <w:color w:val="auto"/>
          <w:highlight w:val="none"/>
        </w:rPr>
      </w:pPr>
      <w:bookmarkStart w:id="66" w:name="_bookmark46"/>
      <w:bookmarkEnd w:id="66"/>
      <w:r>
        <w:rPr>
          <w:rFonts w:hint="eastAsia" w:ascii="宋体" w:hAnsi="宋体" w:eastAsia="宋体" w:cs="宋体"/>
          <w:color w:val="auto"/>
          <w:highlight w:val="none"/>
        </w:rPr>
        <w:t>4.  比选申请</w:t>
      </w:r>
    </w:p>
    <w:p>
      <w:pPr>
        <w:pStyle w:val="6"/>
        <w:adjustRightInd w:val="0"/>
        <w:snapToGrid w:val="0"/>
        <w:spacing w:before="0" w:after="0" w:line="360" w:lineRule="auto"/>
        <w:jc w:val="both"/>
        <w:rPr>
          <w:rFonts w:ascii="宋体" w:hAnsi="宋体" w:eastAsia="宋体" w:cs="宋体"/>
          <w:color w:val="auto"/>
          <w:highlight w:val="none"/>
        </w:rPr>
      </w:pPr>
      <w:bookmarkStart w:id="67" w:name="_bookmark47"/>
      <w:bookmarkEnd w:id="67"/>
      <w:r>
        <w:rPr>
          <w:rFonts w:hint="eastAsia" w:ascii="宋体" w:hAnsi="宋体" w:eastAsia="宋体" w:cs="宋体"/>
          <w:color w:val="auto"/>
          <w:highlight w:val="none"/>
        </w:rPr>
        <w:t>4.1  比选申请文件的密封和标记</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4.1.1 （A）比选申请文件应密封包装，并在封套的封口处加盖比选申请人单位章或由比选申请人的法定 代表人（单位负责人）或其授权的代理人签字。</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4.1.2</w:t>
      </w:r>
      <w:r>
        <w:rPr>
          <w:rFonts w:hint="eastAsia" w:ascii="宋体" w:hAnsi="宋体" w:cs="宋体"/>
          <w:color w:val="auto"/>
          <w:spacing w:val="50"/>
          <w:highlight w:val="none"/>
        </w:rPr>
        <w:t xml:space="preserve"> </w:t>
      </w:r>
      <w:r>
        <w:rPr>
          <w:rFonts w:hint="eastAsia" w:ascii="宋体" w:hAnsi="宋体" w:cs="宋体"/>
          <w:color w:val="auto"/>
          <w:highlight w:val="none"/>
        </w:rPr>
        <w:t>比选申请文件封套上应写明的内容见比选申请人须知前附表。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4.1.3 未按本章第 4.1.1 项要求密封的比选申请文件，比选人将予以拒收。</w:t>
      </w:r>
    </w:p>
    <w:p>
      <w:pPr>
        <w:pStyle w:val="6"/>
        <w:adjustRightInd w:val="0"/>
        <w:snapToGrid w:val="0"/>
        <w:spacing w:before="0" w:after="0" w:line="360" w:lineRule="auto"/>
        <w:jc w:val="both"/>
        <w:rPr>
          <w:rFonts w:ascii="宋体" w:hAnsi="宋体" w:eastAsia="宋体" w:cs="宋体"/>
          <w:color w:val="auto"/>
          <w:highlight w:val="none"/>
        </w:rPr>
      </w:pPr>
      <w:bookmarkStart w:id="68" w:name="_bookmark48"/>
      <w:bookmarkEnd w:id="68"/>
      <w:r>
        <w:rPr>
          <w:rFonts w:hint="eastAsia" w:ascii="宋体" w:hAnsi="宋体" w:eastAsia="宋体" w:cs="宋体"/>
          <w:color w:val="auto"/>
          <w:highlight w:val="none"/>
        </w:rPr>
        <w:t>4.2  比选申请文件的递交</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4.2.1 比选申请人应在比选申请人须知前附表规定的比选申请截止时间前递交比选申请文件。</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4.2.2 （A）比选申请人递交比选申请文件的地点：见比选申请人须知前附表。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4.2.3 除比选申请人须知前附表另有规定外，比选申请人所递交的比选申请文件不予退还。</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4.2.4</w:t>
      </w:r>
      <w:r>
        <w:rPr>
          <w:rFonts w:hint="eastAsia" w:ascii="宋体" w:hAnsi="宋体" w:cs="宋体"/>
          <w:color w:val="auto"/>
          <w:spacing w:val="50"/>
          <w:highlight w:val="none"/>
        </w:rPr>
        <w:t xml:space="preserve"> </w:t>
      </w:r>
      <w:r>
        <w:rPr>
          <w:rFonts w:hint="eastAsia" w:ascii="宋体" w:hAnsi="宋体" w:cs="宋体"/>
          <w:color w:val="auto"/>
          <w:highlight w:val="none"/>
        </w:rPr>
        <w:t>（A）比选人收到比选申请文件后，进行签字确认。</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4.2.5</w:t>
      </w:r>
      <w:r>
        <w:rPr>
          <w:rFonts w:hint="eastAsia" w:ascii="宋体" w:hAnsi="宋体" w:cs="宋体"/>
          <w:color w:val="auto"/>
          <w:spacing w:val="50"/>
          <w:highlight w:val="none"/>
        </w:rPr>
        <w:t xml:space="preserve"> </w:t>
      </w:r>
      <w:r>
        <w:rPr>
          <w:rFonts w:hint="eastAsia" w:ascii="宋体" w:hAnsi="宋体" w:cs="宋体"/>
          <w:color w:val="auto"/>
          <w:highlight w:val="none"/>
        </w:rPr>
        <w:t>（A）逾期送达的比选申请文件，比选人将予以拒收。</w:t>
      </w:r>
    </w:p>
    <w:p>
      <w:pPr>
        <w:pStyle w:val="6"/>
        <w:adjustRightInd w:val="0"/>
        <w:snapToGrid w:val="0"/>
        <w:spacing w:before="0" w:after="0" w:line="360" w:lineRule="auto"/>
        <w:jc w:val="both"/>
        <w:rPr>
          <w:rFonts w:ascii="宋体" w:hAnsi="宋体" w:eastAsia="宋体" w:cs="宋体"/>
          <w:color w:val="auto"/>
          <w:highlight w:val="none"/>
        </w:rPr>
      </w:pPr>
      <w:bookmarkStart w:id="69" w:name="_bookmark49"/>
      <w:bookmarkEnd w:id="69"/>
      <w:r>
        <w:rPr>
          <w:rFonts w:hint="eastAsia" w:ascii="宋体" w:hAnsi="宋体" w:eastAsia="宋体" w:cs="宋体"/>
          <w:color w:val="auto"/>
          <w:highlight w:val="none"/>
        </w:rPr>
        <w:t>4.3  比选申请文件的修改与撤回</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4.3.1 在本章第 4.2.1 项规定的比选申请截止时间前，比选申请人可以修改或撤回已递交的比选申请文件，但应以书面形式通知比选人。在本章第 4.2.1 项规定的比选申请截止时间后，比选人不得撤回比选申请文件。</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4.3.2 （A）比选申请人修改或撤回已递交比选申请文件的书面通知应按照本章第</w:t>
      </w:r>
      <w:r>
        <w:rPr>
          <w:rFonts w:hint="eastAsia" w:ascii="宋体" w:hAnsi="宋体" w:cs="宋体"/>
          <w:color w:val="auto"/>
          <w:spacing w:val="-71"/>
          <w:highlight w:val="none"/>
        </w:rPr>
        <w:t xml:space="preserve"> </w:t>
      </w:r>
      <w:r>
        <w:rPr>
          <w:rFonts w:hint="eastAsia" w:ascii="宋体" w:hAnsi="宋体" w:cs="宋体"/>
          <w:color w:val="auto"/>
          <w:highlight w:val="none"/>
        </w:rPr>
        <w:t>3.7.3（A）项的要求签字或盖章。比选人收到书面通知后，向比选申请人出具签收凭证。</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4.3.3 比选申请人撤回比选申请文件的，比选人自收到比选申请人书面撤回通知之日起 5 日内退还已收取 的比选申请保证金。</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 xml:space="preserve">4.3.4 </w:t>
      </w:r>
      <w:r>
        <w:rPr>
          <w:rFonts w:hint="eastAsia" w:ascii="宋体" w:hAnsi="宋体" w:cs="宋体"/>
          <w:color w:val="auto"/>
          <w:spacing w:val="-3"/>
          <w:highlight w:val="none"/>
        </w:rPr>
        <w:t xml:space="preserve">修改的内容为比选申请文件的组成部分。修改的比选申请文件应按照本章第 </w:t>
      </w:r>
      <w:r>
        <w:rPr>
          <w:rFonts w:hint="eastAsia" w:ascii="宋体" w:hAnsi="宋体" w:cs="宋体"/>
          <w:color w:val="auto"/>
          <w:highlight w:val="none"/>
        </w:rPr>
        <w:t xml:space="preserve">3 </w:t>
      </w:r>
      <w:r>
        <w:rPr>
          <w:rFonts w:hint="eastAsia" w:ascii="宋体" w:hAnsi="宋体" w:cs="宋体"/>
          <w:color w:val="auto"/>
          <w:spacing w:val="-14"/>
          <w:highlight w:val="none"/>
        </w:rPr>
        <w:t xml:space="preserve">条、第 </w:t>
      </w:r>
      <w:r>
        <w:rPr>
          <w:rFonts w:hint="eastAsia" w:ascii="宋体" w:hAnsi="宋体" w:cs="宋体"/>
          <w:color w:val="auto"/>
          <w:highlight w:val="none"/>
        </w:rPr>
        <w:t>4 条的规 定进行编制、密封、标记和递交，并标明</w:t>
      </w:r>
      <w:r>
        <w:rPr>
          <w:rFonts w:hint="eastAsia" w:ascii="宋体" w:hAnsi="宋体" w:cs="宋体"/>
          <w:i/>
          <w:color w:val="auto"/>
          <w:highlight w:val="none"/>
        </w:rPr>
        <w:t>“</w:t>
      </w:r>
      <w:r>
        <w:rPr>
          <w:rFonts w:hint="eastAsia" w:ascii="宋体" w:hAnsi="宋体" w:cs="宋体"/>
          <w:color w:val="auto"/>
          <w:highlight w:val="none"/>
        </w:rPr>
        <w:t>修改</w:t>
      </w:r>
      <w:r>
        <w:rPr>
          <w:rFonts w:hint="eastAsia" w:ascii="宋体" w:hAnsi="宋体" w:cs="宋体"/>
          <w:i/>
          <w:color w:val="auto"/>
          <w:highlight w:val="none"/>
        </w:rPr>
        <w:t>”</w:t>
      </w:r>
      <w:r>
        <w:rPr>
          <w:rFonts w:hint="eastAsia" w:ascii="宋体" w:hAnsi="宋体" w:cs="宋体"/>
          <w:color w:val="auto"/>
          <w:highlight w:val="none"/>
        </w:rPr>
        <w:t>字样。</w:t>
      </w:r>
    </w:p>
    <w:p>
      <w:pPr>
        <w:pStyle w:val="5"/>
        <w:adjustRightInd w:val="0"/>
        <w:snapToGrid w:val="0"/>
        <w:spacing w:before="0" w:after="0" w:line="360" w:lineRule="auto"/>
        <w:rPr>
          <w:rFonts w:ascii="宋体" w:hAnsi="宋体" w:eastAsia="宋体" w:cs="宋体"/>
          <w:color w:val="auto"/>
          <w:highlight w:val="none"/>
        </w:rPr>
      </w:pPr>
      <w:bookmarkStart w:id="70" w:name="_bookmark50"/>
      <w:bookmarkEnd w:id="70"/>
      <w:r>
        <w:rPr>
          <w:rFonts w:hint="eastAsia" w:ascii="宋体" w:hAnsi="宋体" w:eastAsia="宋体" w:cs="宋体"/>
          <w:color w:val="auto"/>
          <w:highlight w:val="none"/>
        </w:rPr>
        <w:t>5.  开标</w:t>
      </w:r>
    </w:p>
    <w:p>
      <w:pPr>
        <w:pStyle w:val="6"/>
        <w:adjustRightInd w:val="0"/>
        <w:snapToGrid w:val="0"/>
        <w:spacing w:before="0" w:after="0" w:line="360" w:lineRule="auto"/>
        <w:jc w:val="both"/>
        <w:rPr>
          <w:rFonts w:ascii="宋体" w:hAnsi="宋体" w:eastAsia="宋体" w:cs="宋体"/>
          <w:color w:val="auto"/>
          <w:sz w:val="27"/>
          <w:highlight w:val="none"/>
        </w:rPr>
      </w:pPr>
      <w:bookmarkStart w:id="71" w:name="_bookmark51"/>
      <w:bookmarkEnd w:id="71"/>
      <w:r>
        <w:rPr>
          <w:rFonts w:hint="eastAsia" w:ascii="宋体" w:hAnsi="宋体" w:eastAsia="宋体" w:cs="宋体"/>
          <w:color w:val="auto"/>
          <w:highlight w:val="none"/>
        </w:rPr>
        <w:t>5.1</w:t>
      </w:r>
      <w:r>
        <w:rPr>
          <w:rFonts w:hint="eastAsia" w:ascii="宋体" w:hAnsi="宋体" w:eastAsia="宋体" w:cs="宋体"/>
          <w:color w:val="auto"/>
          <w:spacing w:val="68"/>
          <w:highlight w:val="none"/>
        </w:rPr>
        <w:t xml:space="preserve"> </w:t>
      </w:r>
      <w:r>
        <w:rPr>
          <w:rFonts w:hint="eastAsia" w:ascii="宋体" w:hAnsi="宋体" w:eastAsia="宋体" w:cs="宋体"/>
          <w:color w:val="auto"/>
          <w:highlight w:val="none"/>
        </w:rPr>
        <w:t>开标时间和地点（A）</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 xml:space="preserve">比选人在本章第 4.2.1 </w:t>
      </w:r>
      <w:r>
        <w:rPr>
          <w:rFonts w:hint="eastAsia" w:ascii="宋体" w:hAnsi="宋体" w:cs="宋体"/>
          <w:color w:val="auto"/>
          <w:spacing w:val="-4"/>
          <w:highlight w:val="none"/>
        </w:rPr>
        <w:t>项规定的比选申请截止时间（开标时间）和比选申请人须知前附表规定的地点</w:t>
      </w:r>
      <w:r>
        <w:rPr>
          <w:rFonts w:hint="eastAsia" w:ascii="宋体" w:hAnsi="宋体" w:cs="宋体"/>
          <w:color w:val="auto"/>
          <w:highlight w:val="none"/>
        </w:rPr>
        <w:t>公开开标，并邀请所有比选申请人的法定代表人（单位负责人）或其委托代理人准时参加。</w:t>
      </w:r>
    </w:p>
    <w:p>
      <w:pPr>
        <w:pStyle w:val="6"/>
        <w:adjustRightInd w:val="0"/>
        <w:snapToGrid w:val="0"/>
        <w:spacing w:before="0" w:after="0" w:line="360" w:lineRule="auto"/>
        <w:jc w:val="both"/>
        <w:rPr>
          <w:rFonts w:ascii="宋体" w:hAnsi="宋体" w:eastAsia="宋体" w:cs="宋体"/>
          <w:color w:val="auto"/>
          <w:highlight w:val="none"/>
        </w:rPr>
      </w:pPr>
      <w:bookmarkStart w:id="72" w:name="_bookmark53"/>
      <w:bookmarkEnd w:id="72"/>
      <w:r>
        <w:rPr>
          <w:rFonts w:hint="eastAsia" w:ascii="宋体" w:hAnsi="宋体" w:eastAsia="宋体" w:cs="宋体"/>
          <w:color w:val="auto"/>
          <w:highlight w:val="none"/>
        </w:rPr>
        <w:t>5.2  开标程序</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主持人按下列程序进行开标：</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（1）宣布开标纪律；</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（2）公布在比选申请截止时间前递交比选申请文件的比选申请人名称；</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（3）宣布开标人、唱标人、记录人、监标人等有关人员姓名；</w:t>
      </w:r>
    </w:p>
    <w:p>
      <w:pPr>
        <w:pStyle w:val="19"/>
        <w:adjustRightInd w:val="0"/>
        <w:snapToGrid w:val="0"/>
        <w:spacing w:after="0"/>
        <w:ind w:firstLine="412" w:firstLineChars="200"/>
        <w:jc w:val="both"/>
        <w:rPr>
          <w:rFonts w:ascii="宋体" w:hAnsi="宋体" w:cs="宋体"/>
          <w:color w:val="auto"/>
          <w:highlight w:val="none"/>
        </w:rPr>
      </w:pPr>
      <w:r>
        <w:rPr>
          <w:rFonts w:hint="eastAsia" w:ascii="宋体" w:hAnsi="宋体" w:cs="宋体"/>
          <w:color w:val="auto"/>
          <w:spacing w:val="-2"/>
          <w:highlight w:val="none"/>
        </w:rPr>
        <w:t>（4）（A）检查比选申请文件的密封情况，按照比选申请人须知前附表规定的开标顺序当众开标，</w:t>
      </w:r>
      <w:r>
        <w:rPr>
          <w:rFonts w:hint="eastAsia" w:ascii="宋体" w:hAnsi="宋体" w:cs="宋体"/>
          <w:color w:val="auto"/>
          <w:highlight w:val="none"/>
        </w:rPr>
        <w:t xml:space="preserve"> </w:t>
      </w:r>
      <w:r>
        <w:rPr>
          <w:rFonts w:hint="eastAsia" w:ascii="宋体" w:hAnsi="宋体" w:cs="宋体"/>
          <w:color w:val="auto"/>
          <w:spacing w:val="-1"/>
          <w:highlight w:val="none"/>
        </w:rPr>
        <w:t xml:space="preserve">公布比选项目名称、比选申请人名称、比选申请保证金的递交情况、比选申请报价、供货期、交货地点及其 </w:t>
      </w:r>
      <w:r>
        <w:rPr>
          <w:rFonts w:hint="eastAsia" w:ascii="宋体" w:hAnsi="宋体" w:cs="宋体"/>
          <w:color w:val="auto"/>
          <w:highlight w:val="none"/>
        </w:rPr>
        <w:t>他内容，并记录在案；</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spacing w:val="-132"/>
          <w:highlight w:val="none"/>
        </w:rPr>
        <w:t>）</w:t>
      </w:r>
      <w:r>
        <w:rPr>
          <w:rFonts w:hint="eastAsia" w:ascii="宋体" w:hAnsi="宋体" w:cs="宋体"/>
          <w:color w:val="auto"/>
          <w:highlight w:val="none"/>
        </w:rPr>
        <w:t>（</w:t>
      </w:r>
      <w:r>
        <w:rPr>
          <w:rFonts w:hint="eastAsia" w:ascii="宋体" w:hAnsi="宋体" w:cs="宋体"/>
          <w:color w:val="auto"/>
          <w:spacing w:val="-2"/>
          <w:highlight w:val="none"/>
        </w:rPr>
        <w:t>A</w:t>
      </w:r>
      <w:r>
        <w:rPr>
          <w:rFonts w:hint="eastAsia" w:ascii="宋体" w:hAnsi="宋体" w:cs="宋体"/>
          <w:color w:val="auto"/>
          <w:spacing w:val="-27"/>
          <w:highlight w:val="none"/>
        </w:rPr>
        <w:t>）</w:t>
      </w:r>
      <w:r>
        <w:rPr>
          <w:rFonts w:hint="eastAsia" w:ascii="宋体" w:hAnsi="宋体" w:cs="宋体"/>
          <w:color w:val="auto"/>
          <w:highlight w:val="none"/>
        </w:rPr>
        <w:t>比选申请人</w:t>
      </w:r>
      <w:r>
        <w:rPr>
          <w:rFonts w:hint="eastAsia" w:ascii="宋体" w:hAnsi="宋体" w:cs="宋体"/>
          <w:color w:val="auto"/>
          <w:spacing w:val="-3"/>
          <w:highlight w:val="none"/>
        </w:rPr>
        <w:t>代</w:t>
      </w:r>
      <w:r>
        <w:rPr>
          <w:rFonts w:hint="eastAsia" w:ascii="宋体" w:hAnsi="宋体" w:cs="宋体"/>
          <w:color w:val="auto"/>
          <w:highlight w:val="none"/>
        </w:rPr>
        <w:t>表</w:t>
      </w:r>
      <w:r>
        <w:rPr>
          <w:rFonts w:hint="eastAsia" w:ascii="宋体" w:hAnsi="宋体" w:cs="宋体"/>
          <w:color w:val="auto"/>
          <w:spacing w:val="-27"/>
          <w:highlight w:val="none"/>
        </w:rPr>
        <w:t>、</w:t>
      </w:r>
      <w:r>
        <w:rPr>
          <w:rFonts w:hint="eastAsia" w:ascii="宋体" w:hAnsi="宋体" w:cs="宋体"/>
          <w:color w:val="auto"/>
          <w:spacing w:val="-3"/>
          <w:highlight w:val="none"/>
        </w:rPr>
        <w:t>比选人代表</w:t>
      </w:r>
      <w:r>
        <w:rPr>
          <w:rFonts w:hint="eastAsia" w:ascii="宋体" w:hAnsi="宋体" w:cs="宋体"/>
          <w:color w:val="auto"/>
          <w:spacing w:val="-25"/>
          <w:highlight w:val="none"/>
        </w:rPr>
        <w:t>、</w:t>
      </w:r>
      <w:r>
        <w:rPr>
          <w:rFonts w:hint="eastAsia" w:ascii="宋体" w:hAnsi="宋体" w:cs="宋体"/>
          <w:color w:val="auto"/>
          <w:spacing w:val="-3"/>
          <w:highlight w:val="none"/>
        </w:rPr>
        <w:t>监</w:t>
      </w:r>
      <w:r>
        <w:rPr>
          <w:rFonts w:hint="eastAsia" w:ascii="宋体" w:hAnsi="宋体" w:cs="宋体"/>
          <w:color w:val="auto"/>
          <w:highlight w:val="none"/>
        </w:rPr>
        <w:t>标</w:t>
      </w:r>
      <w:r>
        <w:rPr>
          <w:rFonts w:hint="eastAsia" w:ascii="宋体" w:hAnsi="宋体" w:cs="宋体"/>
          <w:color w:val="auto"/>
          <w:spacing w:val="-3"/>
          <w:highlight w:val="none"/>
        </w:rPr>
        <w:t>人</w:t>
      </w:r>
      <w:r>
        <w:rPr>
          <w:rFonts w:hint="eastAsia" w:ascii="宋体" w:hAnsi="宋体" w:cs="宋体"/>
          <w:color w:val="auto"/>
          <w:spacing w:val="-25"/>
          <w:highlight w:val="none"/>
        </w:rPr>
        <w:t>、</w:t>
      </w:r>
      <w:r>
        <w:rPr>
          <w:rFonts w:hint="eastAsia" w:ascii="宋体" w:hAnsi="宋体" w:cs="宋体"/>
          <w:color w:val="auto"/>
          <w:spacing w:val="-3"/>
          <w:highlight w:val="none"/>
        </w:rPr>
        <w:t>记录</w:t>
      </w:r>
      <w:r>
        <w:rPr>
          <w:rFonts w:hint="eastAsia" w:ascii="宋体" w:hAnsi="宋体" w:cs="宋体"/>
          <w:color w:val="auto"/>
          <w:highlight w:val="none"/>
        </w:rPr>
        <w:t>人等</w:t>
      </w:r>
      <w:r>
        <w:rPr>
          <w:rFonts w:hint="eastAsia" w:ascii="宋体" w:hAnsi="宋体" w:cs="宋体"/>
          <w:color w:val="auto"/>
          <w:spacing w:val="-3"/>
          <w:highlight w:val="none"/>
        </w:rPr>
        <w:t>有</w:t>
      </w:r>
      <w:r>
        <w:rPr>
          <w:rFonts w:hint="eastAsia" w:ascii="宋体" w:hAnsi="宋体" w:cs="宋体"/>
          <w:color w:val="auto"/>
          <w:highlight w:val="none"/>
        </w:rPr>
        <w:t>关</w:t>
      </w:r>
      <w:r>
        <w:rPr>
          <w:rFonts w:hint="eastAsia" w:ascii="宋体" w:hAnsi="宋体" w:cs="宋体"/>
          <w:color w:val="auto"/>
          <w:spacing w:val="-3"/>
          <w:highlight w:val="none"/>
        </w:rPr>
        <w:t>人</w:t>
      </w:r>
      <w:r>
        <w:rPr>
          <w:rFonts w:hint="eastAsia" w:ascii="宋体" w:hAnsi="宋体" w:cs="宋体"/>
          <w:color w:val="auto"/>
          <w:highlight w:val="none"/>
        </w:rPr>
        <w:t>员</w:t>
      </w:r>
      <w:r>
        <w:rPr>
          <w:rFonts w:hint="eastAsia" w:ascii="宋体" w:hAnsi="宋体" w:cs="宋体"/>
          <w:color w:val="auto"/>
          <w:spacing w:val="-3"/>
          <w:highlight w:val="none"/>
        </w:rPr>
        <w:t>在</w:t>
      </w:r>
      <w:r>
        <w:rPr>
          <w:rFonts w:hint="eastAsia" w:ascii="宋体" w:hAnsi="宋体" w:cs="宋体"/>
          <w:color w:val="auto"/>
          <w:highlight w:val="none"/>
        </w:rPr>
        <w:t>开</w:t>
      </w:r>
      <w:r>
        <w:rPr>
          <w:rFonts w:hint="eastAsia" w:ascii="宋体" w:hAnsi="宋体" w:cs="宋体"/>
          <w:color w:val="auto"/>
          <w:spacing w:val="-3"/>
          <w:highlight w:val="none"/>
        </w:rPr>
        <w:t>标</w:t>
      </w:r>
      <w:r>
        <w:rPr>
          <w:rFonts w:hint="eastAsia" w:ascii="宋体" w:hAnsi="宋体" w:cs="宋体"/>
          <w:color w:val="auto"/>
          <w:highlight w:val="none"/>
        </w:rPr>
        <w:t>记</w:t>
      </w:r>
      <w:r>
        <w:rPr>
          <w:rFonts w:hint="eastAsia" w:ascii="宋体" w:hAnsi="宋体" w:cs="宋体"/>
          <w:color w:val="auto"/>
          <w:spacing w:val="-3"/>
          <w:highlight w:val="none"/>
        </w:rPr>
        <w:t>录</w:t>
      </w:r>
      <w:r>
        <w:rPr>
          <w:rFonts w:hint="eastAsia" w:ascii="宋体" w:hAnsi="宋体" w:cs="宋体"/>
          <w:color w:val="auto"/>
          <w:highlight w:val="none"/>
        </w:rPr>
        <w:t>上签</w:t>
      </w:r>
      <w:r>
        <w:rPr>
          <w:rFonts w:hint="eastAsia" w:ascii="宋体" w:hAnsi="宋体" w:cs="宋体"/>
          <w:color w:val="auto"/>
          <w:spacing w:val="-3"/>
          <w:highlight w:val="none"/>
        </w:rPr>
        <w:t>字</w:t>
      </w:r>
      <w:r>
        <w:rPr>
          <w:rFonts w:hint="eastAsia" w:ascii="宋体" w:hAnsi="宋体" w:cs="宋体"/>
          <w:color w:val="auto"/>
          <w:highlight w:val="none"/>
        </w:rPr>
        <w:t>确</w:t>
      </w:r>
      <w:r>
        <w:rPr>
          <w:rFonts w:hint="eastAsia" w:ascii="宋体" w:hAnsi="宋体" w:cs="宋体"/>
          <w:color w:val="auto"/>
          <w:spacing w:val="-3"/>
          <w:highlight w:val="none"/>
        </w:rPr>
        <w:t>认</w:t>
      </w:r>
      <w:r>
        <w:rPr>
          <w:rFonts w:hint="eastAsia" w:ascii="宋体" w:hAnsi="宋体" w:cs="宋体"/>
          <w:color w:val="auto"/>
          <w:highlight w:val="none"/>
        </w:rPr>
        <w:t>；</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（6）开标结束。</w:t>
      </w:r>
    </w:p>
    <w:p>
      <w:pPr>
        <w:pStyle w:val="6"/>
        <w:adjustRightInd w:val="0"/>
        <w:snapToGrid w:val="0"/>
        <w:spacing w:before="0" w:after="0" w:line="360" w:lineRule="auto"/>
        <w:jc w:val="both"/>
        <w:rPr>
          <w:rFonts w:ascii="宋体" w:hAnsi="宋体" w:eastAsia="宋体" w:cs="宋体"/>
          <w:color w:val="auto"/>
          <w:highlight w:val="none"/>
        </w:rPr>
      </w:pPr>
      <w:bookmarkStart w:id="73" w:name="_bookmark54"/>
      <w:bookmarkEnd w:id="73"/>
      <w:r>
        <w:rPr>
          <w:rFonts w:hint="eastAsia" w:ascii="宋体" w:hAnsi="宋体" w:eastAsia="宋体" w:cs="宋体"/>
          <w:color w:val="auto"/>
          <w:highlight w:val="none"/>
        </w:rPr>
        <w:t>5.3  开标异议</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比选申请人对开标有异议的，应当在开标现场提出，比选人当场作出答复，并制作记录。</w:t>
      </w:r>
    </w:p>
    <w:p>
      <w:pPr>
        <w:pStyle w:val="5"/>
        <w:adjustRightInd w:val="0"/>
        <w:snapToGrid w:val="0"/>
        <w:spacing w:before="0" w:after="0" w:line="360" w:lineRule="auto"/>
        <w:rPr>
          <w:rFonts w:ascii="宋体" w:hAnsi="宋体" w:eastAsia="宋体" w:cs="宋体"/>
          <w:color w:val="auto"/>
          <w:highlight w:val="none"/>
        </w:rPr>
      </w:pPr>
      <w:bookmarkStart w:id="74" w:name="_bookmark55"/>
      <w:bookmarkEnd w:id="74"/>
      <w:r>
        <w:rPr>
          <w:rFonts w:hint="eastAsia" w:ascii="宋体" w:hAnsi="宋体" w:eastAsia="宋体" w:cs="宋体"/>
          <w:color w:val="auto"/>
          <w:highlight w:val="none"/>
        </w:rPr>
        <w:t>6. 评标</w:t>
      </w:r>
    </w:p>
    <w:p>
      <w:pPr>
        <w:pStyle w:val="6"/>
        <w:adjustRightInd w:val="0"/>
        <w:snapToGrid w:val="0"/>
        <w:spacing w:before="0" w:after="0" w:line="360" w:lineRule="auto"/>
        <w:jc w:val="both"/>
        <w:rPr>
          <w:rFonts w:ascii="宋体" w:hAnsi="宋体" w:eastAsia="宋体" w:cs="宋体"/>
          <w:color w:val="auto"/>
          <w:highlight w:val="none"/>
        </w:rPr>
      </w:pPr>
      <w:bookmarkStart w:id="75" w:name="_bookmark56"/>
      <w:bookmarkEnd w:id="75"/>
      <w:r>
        <w:rPr>
          <w:rFonts w:hint="eastAsia" w:ascii="宋体" w:hAnsi="宋体" w:eastAsia="宋体" w:cs="宋体"/>
          <w:color w:val="auto"/>
          <w:highlight w:val="none"/>
        </w:rPr>
        <w:t>6.1  评审委员会</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 xml:space="preserve">6.1.1 </w:t>
      </w:r>
      <w:r>
        <w:rPr>
          <w:rFonts w:hint="eastAsia" w:ascii="宋体" w:hAnsi="宋体" w:cs="宋体"/>
          <w:color w:val="auto"/>
          <w:spacing w:val="-4"/>
          <w:highlight w:val="none"/>
        </w:rPr>
        <w:t>评标由比选人依比选人相关制度组建的评审委员会负责</w:t>
      </w:r>
      <w:r>
        <w:rPr>
          <w:rFonts w:hint="eastAsia" w:ascii="宋体" w:hAnsi="宋体" w:cs="宋体"/>
          <w:color w:val="auto"/>
          <w:spacing w:val="-1"/>
          <w:highlight w:val="none"/>
        </w:rPr>
        <w:t>。评审委员会成员组成、</w:t>
      </w:r>
      <w:r>
        <w:rPr>
          <w:rFonts w:hint="eastAsia" w:ascii="宋体" w:hAnsi="宋体" w:cs="宋体"/>
          <w:color w:val="auto"/>
          <w:highlight w:val="none"/>
        </w:rPr>
        <w:t>确定方式见比选申请人须知前附表。</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6.1.2 评审委员会成员有下列情形之一的，应当回避：</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（1）比选申请人或比选申请人主要负责人的近亲属；</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（2）项目主管部门或者行政监督部门的人员；</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（3）与比选申请人有经济利益关系，可能影响对比选申请公正评审的；</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（4）曾因在招标、评标以及其他与招标比选申请有关活动中从事违法行为而受过行政处罚 或刑事处罚的；</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（5）与比选申请人有其他利害关系。</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 xml:space="preserve">6.1.3 </w:t>
      </w:r>
      <w:r>
        <w:rPr>
          <w:rFonts w:hint="eastAsia" w:ascii="宋体" w:hAnsi="宋体" w:cs="宋体"/>
          <w:color w:val="auto"/>
          <w:spacing w:val="-4"/>
          <w:highlight w:val="none"/>
        </w:rPr>
        <w:t>评标过程中，评审委员会成员有回避事由、擅离职守或者因健康等原因不能继续评标</w:t>
      </w:r>
      <w:r>
        <w:rPr>
          <w:rFonts w:hint="eastAsia" w:ascii="宋体" w:hAnsi="宋体" w:cs="宋体"/>
          <w:color w:val="auto"/>
          <w:spacing w:val="-1"/>
          <w:highlight w:val="none"/>
        </w:rPr>
        <w:t>的，比选人有权更换。被更换的评审委员会成员作出的评审结论无效，由更换后的评审委员会</w:t>
      </w:r>
      <w:r>
        <w:rPr>
          <w:rFonts w:hint="eastAsia" w:ascii="宋体" w:hAnsi="宋体" w:cs="宋体"/>
          <w:color w:val="auto"/>
          <w:highlight w:val="none"/>
        </w:rPr>
        <w:t>成员重新进行评审。</w:t>
      </w:r>
    </w:p>
    <w:p>
      <w:pPr>
        <w:pStyle w:val="6"/>
        <w:adjustRightInd w:val="0"/>
        <w:snapToGrid w:val="0"/>
        <w:spacing w:before="0" w:after="0" w:line="360" w:lineRule="auto"/>
        <w:jc w:val="both"/>
        <w:rPr>
          <w:rFonts w:ascii="宋体" w:hAnsi="宋体" w:eastAsia="宋体" w:cs="宋体"/>
          <w:color w:val="auto"/>
          <w:highlight w:val="none"/>
        </w:rPr>
      </w:pPr>
      <w:bookmarkStart w:id="76" w:name="_bookmark57"/>
      <w:bookmarkEnd w:id="76"/>
      <w:r>
        <w:rPr>
          <w:rFonts w:hint="eastAsia" w:ascii="宋体" w:hAnsi="宋体" w:eastAsia="宋体" w:cs="宋体"/>
          <w:color w:val="auto"/>
          <w:highlight w:val="none"/>
        </w:rPr>
        <w:t>6.2  评标原则</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评标活动遵循公平、公正、科学和择优的原则。</w:t>
      </w:r>
    </w:p>
    <w:p>
      <w:pPr>
        <w:pStyle w:val="6"/>
        <w:adjustRightInd w:val="0"/>
        <w:snapToGrid w:val="0"/>
        <w:spacing w:before="0" w:after="0" w:line="360" w:lineRule="auto"/>
        <w:jc w:val="both"/>
        <w:rPr>
          <w:rFonts w:ascii="宋体" w:hAnsi="宋体" w:eastAsia="宋体" w:cs="宋体"/>
          <w:color w:val="auto"/>
          <w:highlight w:val="none"/>
        </w:rPr>
      </w:pPr>
      <w:bookmarkStart w:id="77" w:name="_bookmark58"/>
      <w:bookmarkEnd w:id="77"/>
      <w:r>
        <w:rPr>
          <w:rFonts w:hint="eastAsia" w:ascii="宋体" w:hAnsi="宋体" w:eastAsia="宋体" w:cs="宋体"/>
          <w:color w:val="auto"/>
          <w:highlight w:val="none"/>
        </w:rPr>
        <w:t>6.3</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评标</w:t>
      </w:r>
    </w:p>
    <w:p>
      <w:pPr>
        <w:pStyle w:val="19"/>
        <w:adjustRightInd w:val="0"/>
        <w:snapToGrid w:val="0"/>
        <w:spacing w:after="0"/>
        <w:ind w:firstLine="398" w:firstLineChars="200"/>
        <w:jc w:val="both"/>
        <w:rPr>
          <w:rFonts w:ascii="宋体" w:hAnsi="宋体" w:cs="宋体"/>
          <w:color w:val="auto"/>
          <w:szCs w:val="21"/>
          <w:highlight w:val="none"/>
        </w:rPr>
      </w:pPr>
      <w:r>
        <w:rPr>
          <w:rFonts w:hint="eastAsia" w:ascii="宋体" w:hAnsi="宋体" w:cs="宋体"/>
          <w:color w:val="auto"/>
          <w:w w:val="95"/>
          <w:szCs w:val="21"/>
          <w:highlight w:val="none"/>
        </w:rPr>
        <w:t>6.3.1 评审委员会按照第三章</w:t>
      </w:r>
      <w:r>
        <w:rPr>
          <w:rFonts w:hint="eastAsia" w:ascii="宋体" w:hAnsi="宋体" w:cs="宋体"/>
          <w:i/>
          <w:color w:val="auto"/>
          <w:w w:val="95"/>
          <w:szCs w:val="21"/>
          <w:highlight w:val="none"/>
        </w:rPr>
        <w:t>“</w:t>
      </w:r>
      <w:r>
        <w:rPr>
          <w:rFonts w:hint="eastAsia" w:ascii="宋体" w:hAnsi="宋体" w:cs="宋体"/>
          <w:color w:val="auto"/>
          <w:w w:val="95"/>
          <w:szCs w:val="21"/>
          <w:highlight w:val="none"/>
        </w:rPr>
        <w:t>评审办法</w:t>
      </w:r>
      <w:r>
        <w:rPr>
          <w:rFonts w:hint="eastAsia" w:ascii="宋体" w:hAnsi="宋体" w:cs="宋体"/>
          <w:i/>
          <w:color w:val="auto"/>
          <w:w w:val="95"/>
          <w:szCs w:val="21"/>
          <w:highlight w:val="none"/>
        </w:rPr>
        <w:t>”</w:t>
      </w:r>
      <w:r>
        <w:rPr>
          <w:rFonts w:hint="eastAsia" w:ascii="宋体" w:hAnsi="宋体" w:cs="宋体"/>
          <w:color w:val="auto"/>
          <w:w w:val="95"/>
          <w:szCs w:val="21"/>
          <w:highlight w:val="none"/>
        </w:rPr>
        <w:t xml:space="preserve">规定的方法、评审因素、标准和程序对比选申请文件进 </w:t>
      </w:r>
      <w:r>
        <w:rPr>
          <w:rFonts w:hint="eastAsia" w:ascii="宋体" w:hAnsi="宋体" w:cs="宋体"/>
          <w:color w:val="auto"/>
          <w:szCs w:val="21"/>
          <w:highlight w:val="none"/>
        </w:rPr>
        <w:t>行评审。第三章</w:t>
      </w:r>
      <w:r>
        <w:rPr>
          <w:rFonts w:hint="eastAsia" w:ascii="宋体" w:hAnsi="宋体" w:cs="宋体"/>
          <w:i/>
          <w:color w:val="auto"/>
          <w:szCs w:val="21"/>
          <w:highlight w:val="none"/>
        </w:rPr>
        <w:t>“</w:t>
      </w:r>
      <w:r>
        <w:rPr>
          <w:rFonts w:hint="eastAsia" w:ascii="宋体" w:hAnsi="宋体" w:cs="宋体"/>
          <w:color w:val="auto"/>
          <w:szCs w:val="21"/>
          <w:highlight w:val="none"/>
        </w:rPr>
        <w:t>评审办法</w:t>
      </w:r>
      <w:r>
        <w:rPr>
          <w:rFonts w:hint="eastAsia" w:ascii="宋体" w:hAnsi="宋体" w:cs="宋体"/>
          <w:i/>
          <w:color w:val="auto"/>
          <w:szCs w:val="21"/>
          <w:highlight w:val="none"/>
        </w:rPr>
        <w:t>”</w:t>
      </w:r>
      <w:r>
        <w:rPr>
          <w:rFonts w:hint="eastAsia" w:ascii="宋体" w:hAnsi="宋体" w:cs="宋体"/>
          <w:color w:val="auto"/>
          <w:szCs w:val="21"/>
          <w:highlight w:val="none"/>
        </w:rPr>
        <w:t>没有规定的方法、评审因素和标准，不作为评标依据。</w:t>
      </w:r>
    </w:p>
    <w:p>
      <w:pPr>
        <w:pStyle w:val="19"/>
        <w:adjustRightInd w:val="0"/>
        <w:snapToGrid w:val="0"/>
        <w:spacing w:after="0"/>
        <w:ind w:firstLine="416" w:firstLineChars="200"/>
        <w:jc w:val="both"/>
        <w:rPr>
          <w:rFonts w:ascii="宋体" w:hAnsi="宋体" w:cs="宋体"/>
          <w:color w:val="auto"/>
          <w:szCs w:val="21"/>
          <w:highlight w:val="none"/>
        </w:rPr>
      </w:pPr>
      <w:r>
        <w:rPr>
          <w:rFonts w:hint="eastAsia" w:ascii="宋体" w:hAnsi="宋体" w:cs="宋体"/>
          <w:color w:val="auto"/>
          <w:spacing w:val="-1"/>
          <w:szCs w:val="21"/>
          <w:highlight w:val="none"/>
        </w:rPr>
        <w:t>6.3.2 评标完成后，评审委员会应当向比选人提交书面评标报告和中选候选人名单。评审委</w:t>
      </w:r>
      <w:r>
        <w:rPr>
          <w:rFonts w:hint="eastAsia" w:ascii="宋体" w:hAnsi="宋体" w:cs="宋体"/>
          <w:color w:val="auto"/>
          <w:szCs w:val="21"/>
          <w:highlight w:val="none"/>
        </w:rPr>
        <w:t>员会推荐中选候选人的人数见比选申请人须知前附表。</w:t>
      </w:r>
    </w:p>
    <w:p>
      <w:pPr>
        <w:pStyle w:val="5"/>
        <w:adjustRightInd w:val="0"/>
        <w:snapToGrid w:val="0"/>
        <w:spacing w:before="0" w:after="0" w:line="360" w:lineRule="auto"/>
        <w:rPr>
          <w:rFonts w:ascii="宋体" w:hAnsi="宋体" w:eastAsia="宋体" w:cs="宋体"/>
          <w:color w:val="auto"/>
          <w:highlight w:val="none"/>
        </w:rPr>
      </w:pPr>
      <w:bookmarkStart w:id="78" w:name="_bookmark59"/>
      <w:bookmarkEnd w:id="78"/>
      <w:r>
        <w:rPr>
          <w:rFonts w:hint="eastAsia" w:ascii="宋体" w:hAnsi="宋体" w:eastAsia="宋体" w:cs="宋体"/>
          <w:color w:val="auto"/>
          <w:highlight w:val="none"/>
        </w:rPr>
        <w:t>7.  合同授予</w:t>
      </w:r>
    </w:p>
    <w:p>
      <w:pPr>
        <w:pStyle w:val="6"/>
        <w:adjustRightInd w:val="0"/>
        <w:snapToGrid w:val="0"/>
        <w:spacing w:before="0" w:after="0" w:line="360" w:lineRule="auto"/>
        <w:jc w:val="both"/>
        <w:rPr>
          <w:rFonts w:ascii="宋体" w:hAnsi="宋体" w:eastAsia="宋体" w:cs="宋体"/>
          <w:color w:val="auto"/>
          <w:highlight w:val="none"/>
        </w:rPr>
      </w:pPr>
      <w:bookmarkStart w:id="79" w:name="_bookmark60"/>
      <w:bookmarkEnd w:id="79"/>
      <w:r>
        <w:rPr>
          <w:rFonts w:hint="eastAsia" w:ascii="宋体" w:hAnsi="宋体" w:eastAsia="宋体" w:cs="宋体"/>
          <w:color w:val="auto"/>
          <w:highlight w:val="none"/>
        </w:rPr>
        <w:t>7.1  中选候选人公示</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比选人在收到评标报告之日起 5日内，按照比选申请人须知前附表规定的公示媒介和期限公示中选候选人，公示期不得少于</w:t>
      </w:r>
      <w:r>
        <w:rPr>
          <w:rFonts w:hint="eastAsia" w:ascii="宋体" w:hAnsi="宋体" w:cs="宋体"/>
          <w:color w:val="auto"/>
          <w:spacing w:val="-53"/>
          <w:highlight w:val="none"/>
        </w:rPr>
        <w:t xml:space="preserve"> </w:t>
      </w:r>
      <w:r>
        <w:rPr>
          <w:rFonts w:hint="eastAsia" w:ascii="宋体" w:hAnsi="宋体" w:cs="宋体"/>
          <w:color w:val="auto"/>
          <w:highlight w:val="none"/>
        </w:rPr>
        <w:t>3天。</w:t>
      </w:r>
    </w:p>
    <w:p>
      <w:pPr>
        <w:pStyle w:val="6"/>
        <w:adjustRightInd w:val="0"/>
        <w:snapToGrid w:val="0"/>
        <w:spacing w:before="0" w:after="0" w:line="360" w:lineRule="auto"/>
        <w:jc w:val="both"/>
        <w:rPr>
          <w:rFonts w:ascii="宋体" w:hAnsi="宋体" w:eastAsia="宋体" w:cs="宋体"/>
          <w:color w:val="auto"/>
          <w:highlight w:val="none"/>
        </w:rPr>
      </w:pPr>
      <w:bookmarkStart w:id="80" w:name="_bookmark61"/>
      <w:bookmarkEnd w:id="80"/>
      <w:r>
        <w:rPr>
          <w:rFonts w:hint="eastAsia" w:ascii="宋体" w:hAnsi="宋体" w:eastAsia="宋体" w:cs="宋体"/>
          <w:color w:val="auto"/>
          <w:highlight w:val="none"/>
        </w:rPr>
        <w:t>7.2</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评标结果异议</w:t>
      </w:r>
    </w:p>
    <w:p>
      <w:pPr>
        <w:pStyle w:val="19"/>
        <w:adjustRightInd w:val="0"/>
        <w:snapToGrid w:val="0"/>
        <w:spacing w:after="0"/>
        <w:ind w:firstLine="416" w:firstLineChars="200"/>
        <w:jc w:val="both"/>
        <w:rPr>
          <w:rFonts w:ascii="宋体" w:hAnsi="宋体" w:cs="宋体"/>
          <w:color w:val="auto"/>
          <w:highlight w:val="none"/>
        </w:rPr>
      </w:pPr>
      <w:r>
        <w:rPr>
          <w:rFonts w:hint="eastAsia" w:ascii="宋体" w:hAnsi="宋体" w:cs="宋体"/>
          <w:color w:val="auto"/>
          <w:spacing w:val="-1"/>
          <w:highlight w:val="none"/>
        </w:rPr>
        <w:t>比选申请人或者其他利害关系人对评标结果有异议的，应当在中选候选人公示期间提出。比选</w:t>
      </w:r>
      <w:r>
        <w:rPr>
          <w:rFonts w:hint="eastAsia" w:ascii="宋体" w:hAnsi="宋体" w:cs="宋体"/>
          <w:color w:val="auto"/>
          <w:highlight w:val="none"/>
        </w:rPr>
        <w:t>人将在收到异议之日起</w:t>
      </w:r>
      <w:r>
        <w:rPr>
          <w:rFonts w:hint="eastAsia" w:ascii="宋体" w:hAnsi="宋体" w:cs="宋体"/>
          <w:color w:val="auto"/>
          <w:spacing w:val="-57"/>
          <w:highlight w:val="none"/>
        </w:rPr>
        <w:t xml:space="preserve"> </w:t>
      </w:r>
      <w:r>
        <w:rPr>
          <w:rFonts w:hint="eastAsia" w:ascii="宋体" w:hAnsi="宋体" w:cs="宋体"/>
          <w:color w:val="auto"/>
          <w:highlight w:val="none"/>
        </w:rPr>
        <w:t>3日内作出答复。</w:t>
      </w:r>
    </w:p>
    <w:p>
      <w:pPr>
        <w:pStyle w:val="6"/>
        <w:adjustRightInd w:val="0"/>
        <w:snapToGrid w:val="0"/>
        <w:spacing w:before="0" w:after="0" w:line="360" w:lineRule="auto"/>
        <w:jc w:val="both"/>
        <w:rPr>
          <w:rFonts w:ascii="宋体" w:hAnsi="宋体" w:eastAsia="宋体" w:cs="宋体"/>
          <w:color w:val="auto"/>
          <w:highlight w:val="none"/>
        </w:rPr>
      </w:pPr>
      <w:bookmarkStart w:id="81" w:name="_bookmark62"/>
      <w:bookmarkEnd w:id="81"/>
      <w:r>
        <w:rPr>
          <w:rFonts w:hint="eastAsia" w:ascii="宋体" w:hAnsi="宋体" w:eastAsia="宋体" w:cs="宋体"/>
          <w:color w:val="auto"/>
          <w:highlight w:val="none"/>
        </w:rPr>
        <w:t>7.3  中选候选人履约能力审查</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中选候选人的经营、财务状况发生较大变化或存在违法行为，比选人认为可能影响其履约能力的，将在发出中选通知书前提请原评审委员会按照比选文件规定的标准和方法进行审查确认。</w:t>
      </w:r>
    </w:p>
    <w:p>
      <w:pPr>
        <w:pStyle w:val="6"/>
        <w:adjustRightInd w:val="0"/>
        <w:snapToGrid w:val="0"/>
        <w:spacing w:before="0" w:after="0" w:line="360" w:lineRule="auto"/>
        <w:jc w:val="both"/>
        <w:rPr>
          <w:rFonts w:ascii="宋体" w:hAnsi="宋体" w:eastAsia="宋体" w:cs="宋体"/>
          <w:color w:val="auto"/>
          <w:highlight w:val="none"/>
        </w:rPr>
      </w:pPr>
      <w:bookmarkStart w:id="82" w:name="_bookmark63"/>
      <w:bookmarkEnd w:id="82"/>
      <w:r>
        <w:rPr>
          <w:rFonts w:hint="eastAsia" w:ascii="宋体" w:hAnsi="宋体" w:eastAsia="宋体" w:cs="宋体"/>
          <w:color w:val="auto"/>
          <w:highlight w:val="none"/>
        </w:rPr>
        <w:t>7.4</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定标</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按照比选申请人须知前附表的规定，比选人或比选人授权的评审委员会依法确定中选人。</w:t>
      </w:r>
    </w:p>
    <w:p>
      <w:pPr>
        <w:pStyle w:val="6"/>
        <w:adjustRightInd w:val="0"/>
        <w:snapToGrid w:val="0"/>
        <w:spacing w:before="0" w:after="0" w:line="360" w:lineRule="auto"/>
        <w:jc w:val="both"/>
        <w:rPr>
          <w:rFonts w:ascii="宋体" w:hAnsi="宋体" w:eastAsia="宋体" w:cs="宋体"/>
          <w:color w:val="auto"/>
          <w:highlight w:val="none"/>
        </w:rPr>
      </w:pPr>
      <w:bookmarkStart w:id="83" w:name="_bookmark64"/>
      <w:bookmarkEnd w:id="83"/>
      <w:r>
        <w:rPr>
          <w:rFonts w:hint="eastAsia" w:ascii="宋体" w:hAnsi="宋体" w:eastAsia="宋体" w:cs="宋体"/>
          <w:color w:val="auto"/>
          <w:highlight w:val="none"/>
        </w:rPr>
        <w:t>7.5  中选通知</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在本章第 3.3 款规定的比选申请有效期内，比选人以书面形式向中选人发出中选通知书。</w:t>
      </w:r>
    </w:p>
    <w:p>
      <w:pPr>
        <w:pStyle w:val="6"/>
        <w:adjustRightInd w:val="0"/>
        <w:snapToGrid w:val="0"/>
        <w:spacing w:before="0" w:after="0" w:line="360" w:lineRule="auto"/>
        <w:jc w:val="both"/>
        <w:rPr>
          <w:rFonts w:ascii="宋体" w:hAnsi="宋体" w:eastAsia="宋体" w:cs="宋体"/>
          <w:color w:val="auto"/>
          <w:highlight w:val="none"/>
        </w:rPr>
      </w:pPr>
      <w:bookmarkStart w:id="84" w:name="_bookmark65"/>
      <w:bookmarkEnd w:id="84"/>
      <w:r>
        <w:rPr>
          <w:rFonts w:hint="eastAsia" w:ascii="宋体" w:hAnsi="宋体" w:eastAsia="宋体" w:cs="宋体"/>
          <w:color w:val="auto"/>
          <w:highlight w:val="none"/>
        </w:rPr>
        <w:t>7.6  履约保证金</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 xml:space="preserve">7.6.1 </w:t>
      </w:r>
      <w:r>
        <w:rPr>
          <w:rFonts w:hint="eastAsia" w:ascii="宋体" w:hAnsi="宋体" w:cs="宋体"/>
          <w:color w:val="auto"/>
          <w:spacing w:val="-2"/>
          <w:highlight w:val="none"/>
        </w:rPr>
        <w:t xml:space="preserve"> </w:t>
      </w:r>
      <w:r>
        <w:rPr>
          <w:rFonts w:hint="eastAsia" w:ascii="宋体" w:hAnsi="宋体" w:cs="宋体"/>
          <w:color w:val="auto"/>
          <w:highlight w:val="none"/>
        </w:rPr>
        <w:t>在</w:t>
      </w:r>
      <w:r>
        <w:rPr>
          <w:rFonts w:hint="eastAsia" w:ascii="宋体" w:hAnsi="宋体" w:cs="宋体"/>
          <w:color w:val="auto"/>
          <w:spacing w:val="-3"/>
          <w:highlight w:val="none"/>
        </w:rPr>
        <w:t>签</w:t>
      </w:r>
      <w:r>
        <w:rPr>
          <w:rFonts w:hint="eastAsia" w:ascii="宋体" w:hAnsi="宋体" w:cs="宋体"/>
          <w:color w:val="auto"/>
          <w:highlight w:val="none"/>
        </w:rPr>
        <w:t>订</w:t>
      </w:r>
      <w:r>
        <w:rPr>
          <w:rFonts w:hint="eastAsia" w:ascii="宋体" w:hAnsi="宋体" w:cs="宋体"/>
          <w:color w:val="auto"/>
          <w:spacing w:val="-3"/>
          <w:highlight w:val="none"/>
        </w:rPr>
        <w:t>合</w:t>
      </w:r>
      <w:r>
        <w:rPr>
          <w:rFonts w:hint="eastAsia" w:ascii="宋体" w:hAnsi="宋体" w:cs="宋体"/>
          <w:color w:val="auto"/>
          <w:highlight w:val="none"/>
        </w:rPr>
        <w:t>同</w:t>
      </w:r>
      <w:r>
        <w:rPr>
          <w:rFonts w:hint="eastAsia" w:ascii="宋体" w:hAnsi="宋体" w:cs="宋体"/>
          <w:color w:val="auto"/>
          <w:spacing w:val="-3"/>
          <w:highlight w:val="none"/>
        </w:rPr>
        <w:t>前</w:t>
      </w:r>
      <w:r>
        <w:rPr>
          <w:rFonts w:hint="eastAsia" w:ascii="宋体" w:hAnsi="宋体" w:cs="宋体"/>
          <w:color w:val="auto"/>
          <w:spacing w:val="-84"/>
          <w:highlight w:val="none"/>
        </w:rPr>
        <w:t>，</w:t>
      </w:r>
      <w:r>
        <w:rPr>
          <w:rFonts w:hint="eastAsia" w:ascii="宋体" w:hAnsi="宋体" w:cs="宋体"/>
          <w:color w:val="auto"/>
          <w:spacing w:val="-3"/>
          <w:highlight w:val="none"/>
        </w:rPr>
        <w:t>中选</w:t>
      </w:r>
      <w:r>
        <w:rPr>
          <w:rFonts w:hint="eastAsia" w:ascii="宋体" w:hAnsi="宋体" w:cs="宋体"/>
          <w:color w:val="auto"/>
          <w:highlight w:val="none"/>
        </w:rPr>
        <w:t>人应</w:t>
      </w:r>
      <w:r>
        <w:rPr>
          <w:rFonts w:hint="eastAsia" w:ascii="宋体" w:hAnsi="宋体" w:cs="宋体"/>
          <w:color w:val="auto"/>
          <w:spacing w:val="-3"/>
          <w:highlight w:val="none"/>
        </w:rPr>
        <w:t>按</w:t>
      </w:r>
      <w:r>
        <w:rPr>
          <w:rFonts w:hint="eastAsia" w:ascii="宋体" w:hAnsi="宋体" w:cs="宋体"/>
          <w:color w:val="auto"/>
          <w:highlight w:val="none"/>
        </w:rPr>
        <w:t>比选申请人须知</w:t>
      </w:r>
      <w:r>
        <w:rPr>
          <w:rFonts w:hint="eastAsia" w:ascii="宋体" w:hAnsi="宋体" w:cs="宋体"/>
          <w:color w:val="auto"/>
          <w:spacing w:val="-3"/>
          <w:highlight w:val="none"/>
        </w:rPr>
        <w:t>前</w:t>
      </w:r>
      <w:r>
        <w:rPr>
          <w:rFonts w:hint="eastAsia" w:ascii="宋体" w:hAnsi="宋体" w:cs="宋体"/>
          <w:color w:val="auto"/>
          <w:highlight w:val="none"/>
        </w:rPr>
        <w:t>附</w:t>
      </w:r>
      <w:r>
        <w:rPr>
          <w:rFonts w:hint="eastAsia" w:ascii="宋体" w:hAnsi="宋体" w:cs="宋体"/>
          <w:color w:val="auto"/>
          <w:spacing w:val="-3"/>
          <w:highlight w:val="none"/>
        </w:rPr>
        <w:t>表</w:t>
      </w:r>
      <w:r>
        <w:rPr>
          <w:rFonts w:hint="eastAsia" w:ascii="宋体" w:hAnsi="宋体" w:cs="宋体"/>
          <w:color w:val="auto"/>
          <w:highlight w:val="none"/>
        </w:rPr>
        <w:t>规定</w:t>
      </w:r>
      <w:r>
        <w:rPr>
          <w:rFonts w:hint="eastAsia" w:ascii="宋体" w:hAnsi="宋体" w:cs="宋体"/>
          <w:color w:val="auto"/>
          <w:spacing w:val="-3"/>
          <w:highlight w:val="none"/>
        </w:rPr>
        <w:t>的</w:t>
      </w:r>
      <w:r>
        <w:rPr>
          <w:rFonts w:hint="eastAsia" w:ascii="宋体" w:hAnsi="宋体" w:cs="宋体"/>
          <w:color w:val="auto"/>
          <w:highlight w:val="none"/>
        </w:rPr>
        <w:t>形</w:t>
      </w:r>
      <w:r>
        <w:rPr>
          <w:rFonts w:hint="eastAsia" w:ascii="宋体" w:hAnsi="宋体" w:cs="宋体"/>
          <w:color w:val="auto"/>
          <w:spacing w:val="-3"/>
          <w:highlight w:val="none"/>
        </w:rPr>
        <w:t>式</w:t>
      </w:r>
      <w:r>
        <w:rPr>
          <w:rFonts w:hint="eastAsia" w:ascii="宋体" w:hAnsi="宋体" w:cs="宋体"/>
          <w:color w:val="auto"/>
          <w:spacing w:val="-85"/>
          <w:highlight w:val="none"/>
        </w:rPr>
        <w:t>、</w:t>
      </w:r>
      <w:r>
        <w:rPr>
          <w:rFonts w:hint="eastAsia" w:ascii="宋体" w:hAnsi="宋体" w:cs="宋体"/>
          <w:color w:val="auto"/>
          <w:spacing w:val="-3"/>
          <w:highlight w:val="none"/>
        </w:rPr>
        <w:t>金</w:t>
      </w:r>
      <w:r>
        <w:rPr>
          <w:rFonts w:hint="eastAsia" w:ascii="宋体" w:hAnsi="宋体" w:cs="宋体"/>
          <w:color w:val="auto"/>
          <w:highlight w:val="none"/>
        </w:rPr>
        <w:t>额</w:t>
      </w:r>
      <w:r>
        <w:rPr>
          <w:rFonts w:hint="eastAsia" w:ascii="宋体" w:hAnsi="宋体" w:cs="宋体"/>
          <w:color w:val="auto"/>
          <w:spacing w:val="-3"/>
          <w:highlight w:val="none"/>
        </w:rPr>
        <w:t>和</w:t>
      </w:r>
      <w:r>
        <w:rPr>
          <w:rFonts w:hint="eastAsia" w:ascii="宋体" w:hAnsi="宋体" w:cs="宋体"/>
          <w:color w:val="auto"/>
          <w:highlight w:val="none"/>
        </w:rPr>
        <w:t>比选文件第</w:t>
      </w:r>
      <w:r>
        <w:rPr>
          <w:rFonts w:hint="eastAsia" w:ascii="宋体" w:hAnsi="宋体" w:cs="宋体"/>
          <w:color w:val="auto"/>
          <w:spacing w:val="-3"/>
          <w:highlight w:val="none"/>
        </w:rPr>
        <w:t>四</w:t>
      </w:r>
      <w:r>
        <w:rPr>
          <w:rFonts w:hint="eastAsia" w:ascii="宋体" w:hAnsi="宋体" w:cs="宋体"/>
          <w:color w:val="auto"/>
          <w:highlight w:val="none"/>
        </w:rPr>
        <w:t>章</w:t>
      </w:r>
      <w:r>
        <w:rPr>
          <w:rFonts w:hint="eastAsia" w:ascii="宋体" w:hAnsi="宋体" w:cs="宋体"/>
          <w:i/>
          <w:color w:val="auto"/>
          <w:spacing w:val="-3"/>
          <w:w w:val="80"/>
          <w:highlight w:val="none"/>
        </w:rPr>
        <w:t>“</w:t>
      </w:r>
      <w:r>
        <w:rPr>
          <w:rFonts w:hint="eastAsia" w:ascii="宋体" w:hAnsi="宋体" w:cs="宋体"/>
          <w:color w:val="auto"/>
          <w:highlight w:val="none"/>
        </w:rPr>
        <w:t>合</w:t>
      </w:r>
      <w:r>
        <w:rPr>
          <w:rFonts w:hint="eastAsia" w:ascii="宋体" w:hAnsi="宋体" w:cs="宋体"/>
          <w:color w:val="auto"/>
          <w:spacing w:val="2"/>
          <w:highlight w:val="none"/>
        </w:rPr>
        <w:t>同条款及格式</w:t>
      </w:r>
      <w:r>
        <w:rPr>
          <w:rFonts w:hint="eastAsia" w:ascii="宋体" w:hAnsi="宋体" w:cs="宋体"/>
          <w:i/>
          <w:color w:val="auto"/>
          <w:spacing w:val="2"/>
          <w:highlight w:val="none"/>
        </w:rPr>
        <w:t>”</w:t>
      </w:r>
      <w:r>
        <w:rPr>
          <w:rFonts w:hint="eastAsia" w:ascii="宋体" w:hAnsi="宋体" w:cs="宋体"/>
          <w:color w:val="auto"/>
          <w:spacing w:val="2"/>
          <w:highlight w:val="none"/>
        </w:rPr>
        <w:t>规定的或者事先经过比选人书面认可的履约保证金格式向比选人提交履约保证</w:t>
      </w:r>
      <w:r>
        <w:rPr>
          <w:rFonts w:hint="eastAsia" w:ascii="宋体" w:hAnsi="宋体" w:cs="宋体"/>
          <w:color w:val="auto"/>
          <w:spacing w:val="-1"/>
          <w:highlight w:val="none"/>
        </w:rPr>
        <w:t>金。除比选申请人须知前附表另有规定外，履约保证金为中选合同金额的</w:t>
      </w:r>
      <w:r>
        <w:rPr>
          <w:rFonts w:hint="eastAsia" w:ascii="宋体" w:hAnsi="宋体" w:cs="宋体"/>
          <w:color w:val="auto"/>
          <w:spacing w:val="-22"/>
          <w:highlight w:val="none"/>
        </w:rPr>
        <w:t xml:space="preserve"> </w:t>
      </w:r>
      <w:r>
        <w:rPr>
          <w:rFonts w:hint="eastAsia" w:ascii="宋体" w:hAnsi="宋体" w:cs="宋体"/>
          <w:color w:val="auto"/>
          <w:highlight w:val="none"/>
        </w:rPr>
        <w:t>10%。联合体中选的，其履约保证金以联合体各方或者联合体中牵头人的名义提交。</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7.6.2 中选人不能按本章第 7.6.1 项要求提交履约保证金的，视为放弃中选，其比选申请保证金不予退还，给比选人造成的损失超过比选申请保证金数额的，中选人还应当对超过部分予以赔偿。</w:t>
      </w:r>
    </w:p>
    <w:p>
      <w:pPr>
        <w:pStyle w:val="6"/>
        <w:adjustRightInd w:val="0"/>
        <w:snapToGrid w:val="0"/>
        <w:spacing w:before="0" w:after="0" w:line="360" w:lineRule="auto"/>
        <w:jc w:val="both"/>
        <w:rPr>
          <w:rFonts w:ascii="宋体" w:hAnsi="宋体" w:eastAsia="宋体" w:cs="宋体"/>
          <w:color w:val="auto"/>
          <w:highlight w:val="none"/>
        </w:rPr>
      </w:pPr>
      <w:bookmarkStart w:id="85" w:name="_bookmark66"/>
      <w:bookmarkEnd w:id="85"/>
      <w:r>
        <w:rPr>
          <w:rFonts w:hint="eastAsia" w:ascii="宋体" w:hAnsi="宋体" w:eastAsia="宋体" w:cs="宋体"/>
          <w:color w:val="auto"/>
          <w:highlight w:val="none"/>
        </w:rPr>
        <w:t>7.7  签订合同</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7.7.1 比选人和中选人应当在中选通知书发出之日起 30 日内，根据比选文件和中选人的投标文件订立书面合同。中选人无正当理由拒签合同，在签订合同时向比选人提出附加条件，或者不按照比选文件要求提交履约保证金的，比选人有权取消其中选资格，其比选申请保证金不予退还；给比选人造成的损失超过比选申请保证金数额的，中选人还应当对超过部分予以赔偿。</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 xml:space="preserve">7.7.2 </w:t>
      </w:r>
      <w:r>
        <w:rPr>
          <w:rFonts w:hint="eastAsia" w:ascii="宋体" w:hAnsi="宋体" w:cs="宋体"/>
          <w:color w:val="auto"/>
          <w:spacing w:val="-4"/>
          <w:highlight w:val="none"/>
        </w:rPr>
        <w:t>发出中选通知书后，比选人无正当理由拒签合同，或者在签订合同时向中选人提出附</w:t>
      </w:r>
      <w:r>
        <w:rPr>
          <w:rFonts w:hint="eastAsia" w:ascii="宋体" w:hAnsi="宋体" w:cs="宋体"/>
          <w:color w:val="auto"/>
          <w:highlight w:val="none"/>
        </w:rPr>
        <w:t>加条件的，比选人向中选人退还比选申请保证金；给中选人造成损失的，还应当赔偿损失。</w:t>
      </w:r>
    </w:p>
    <w:p>
      <w:pPr>
        <w:pStyle w:val="19"/>
        <w:adjustRightInd w:val="0"/>
        <w:snapToGrid w:val="0"/>
        <w:spacing w:after="0"/>
        <w:ind w:firstLine="416" w:firstLineChars="200"/>
        <w:jc w:val="both"/>
        <w:rPr>
          <w:rFonts w:ascii="宋体" w:hAnsi="宋体" w:cs="宋体"/>
          <w:color w:val="auto"/>
          <w:highlight w:val="none"/>
        </w:rPr>
      </w:pPr>
      <w:r>
        <w:rPr>
          <w:rFonts w:hint="eastAsia" w:ascii="宋体" w:hAnsi="宋体" w:cs="宋体"/>
          <w:color w:val="auto"/>
          <w:spacing w:val="-1"/>
          <w:highlight w:val="none"/>
        </w:rPr>
        <w:t>7.7.3 联合体中选的，联合体各方应当共同与比选人签订合同，就中选项目向比选人承担连</w:t>
      </w:r>
      <w:r>
        <w:rPr>
          <w:rFonts w:hint="eastAsia" w:ascii="宋体" w:hAnsi="宋体" w:cs="宋体"/>
          <w:color w:val="auto"/>
          <w:highlight w:val="none"/>
        </w:rPr>
        <w:t>带责任。</w:t>
      </w:r>
    </w:p>
    <w:p>
      <w:pPr>
        <w:pStyle w:val="5"/>
        <w:adjustRightInd w:val="0"/>
        <w:snapToGrid w:val="0"/>
        <w:spacing w:before="0" w:after="0" w:line="360" w:lineRule="auto"/>
        <w:rPr>
          <w:rFonts w:ascii="宋体" w:hAnsi="宋体" w:eastAsia="宋体" w:cs="宋体"/>
          <w:color w:val="auto"/>
          <w:highlight w:val="none"/>
        </w:rPr>
      </w:pPr>
      <w:bookmarkStart w:id="86" w:name="_bookmark67"/>
      <w:bookmarkEnd w:id="86"/>
      <w:r>
        <w:rPr>
          <w:rFonts w:hint="eastAsia" w:ascii="宋体" w:hAnsi="宋体" w:eastAsia="宋体" w:cs="宋体"/>
          <w:color w:val="auto"/>
          <w:highlight w:val="none"/>
        </w:rPr>
        <w:t>8.纪律和监督</w:t>
      </w:r>
    </w:p>
    <w:p>
      <w:pPr>
        <w:pStyle w:val="6"/>
        <w:adjustRightInd w:val="0"/>
        <w:snapToGrid w:val="0"/>
        <w:spacing w:before="0" w:after="0" w:line="360" w:lineRule="auto"/>
        <w:jc w:val="both"/>
        <w:rPr>
          <w:rFonts w:ascii="宋体" w:hAnsi="宋体" w:eastAsia="宋体" w:cs="宋体"/>
          <w:color w:val="auto"/>
          <w:highlight w:val="none"/>
        </w:rPr>
      </w:pPr>
      <w:bookmarkStart w:id="87" w:name="_bookmark68"/>
      <w:bookmarkEnd w:id="87"/>
      <w:r>
        <w:rPr>
          <w:rFonts w:hint="eastAsia" w:ascii="宋体" w:hAnsi="宋体" w:eastAsia="宋体" w:cs="宋体"/>
          <w:color w:val="auto"/>
          <w:highlight w:val="none"/>
        </w:rPr>
        <w:t>8.1</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对比选人的纪律要求</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比选人不得泄露比选活动中应当保密的情况和资料，不得与比选申请人串通损害国家利益、 社会公共利益或者他人合法权益。</w:t>
      </w:r>
    </w:p>
    <w:p>
      <w:pPr>
        <w:pStyle w:val="6"/>
        <w:adjustRightInd w:val="0"/>
        <w:snapToGrid w:val="0"/>
        <w:spacing w:before="0" w:after="0" w:line="360" w:lineRule="auto"/>
        <w:jc w:val="both"/>
        <w:rPr>
          <w:rFonts w:ascii="宋体" w:hAnsi="宋体" w:eastAsia="宋体" w:cs="宋体"/>
          <w:color w:val="auto"/>
          <w:highlight w:val="none"/>
        </w:rPr>
      </w:pPr>
      <w:bookmarkStart w:id="88" w:name="_bookmark69"/>
      <w:bookmarkEnd w:id="88"/>
      <w:r>
        <w:rPr>
          <w:rFonts w:hint="eastAsia" w:ascii="宋体" w:hAnsi="宋体" w:eastAsia="宋体" w:cs="宋体"/>
          <w:color w:val="auto"/>
          <w:highlight w:val="none"/>
        </w:rPr>
        <w:t>8.2</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对比选申请人的纪律要求</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比选申请人不得相互串通比选申请或者与比选人串通比选申请，不得向比选人或者评审委员会成员行贿谋取中选，不得以他人名义比选申请或者以其他方式弄虚作假骗取中选；比选申请人不得以任何方式干扰、影响评标工作。</w:t>
      </w:r>
    </w:p>
    <w:p>
      <w:pPr>
        <w:pStyle w:val="6"/>
        <w:adjustRightInd w:val="0"/>
        <w:snapToGrid w:val="0"/>
        <w:spacing w:before="0" w:after="0" w:line="360" w:lineRule="auto"/>
        <w:jc w:val="both"/>
        <w:rPr>
          <w:rFonts w:ascii="宋体" w:hAnsi="宋体" w:eastAsia="宋体" w:cs="宋体"/>
          <w:color w:val="auto"/>
          <w:highlight w:val="none"/>
        </w:rPr>
      </w:pPr>
      <w:bookmarkStart w:id="89" w:name="_bookmark70"/>
      <w:bookmarkEnd w:id="89"/>
      <w:r>
        <w:rPr>
          <w:rFonts w:hint="eastAsia" w:ascii="宋体" w:hAnsi="宋体" w:eastAsia="宋体" w:cs="宋体"/>
          <w:color w:val="auto"/>
          <w:highlight w:val="none"/>
        </w:rPr>
        <w:t>8.3</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对评审委员会成员的纪律要求</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评审委员会成员不得收受他人的财物或者其他好处，不得向他人透露对比选申请文件的评审和 比较、中选候选人的推荐情况以及评标有关的其他情况。在评标活动中，评审委员会成员应当客观、公正地履行职责，遵守职业道德，不得擅离职守，影响评标程序正常进行，不得使用第三章</w:t>
      </w:r>
      <w:r>
        <w:rPr>
          <w:rFonts w:hint="eastAsia" w:ascii="宋体" w:hAnsi="宋体" w:cs="宋体"/>
          <w:i/>
          <w:color w:val="auto"/>
          <w:highlight w:val="none"/>
        </w:rPr>
        <w:t>“</w:t>
      </w:r>
      <w:r>
        <w:rPr>
          <w:rFonts w:hint="eastAsia" w:ascii="宋体" w:hAnsi="宋体" w:cs="宋体"/>
          <w:color w:val="auto"/>
          <w:highlight w:val="none"/>
        </w:rPr>
        <w:t>评审办法</w:t>
      </w:r>
      <w:r>
        <w:rPr>
          <w:rFonts w:hint="eastAsia" w:ascii="宋体" w:hAnsi="宋体" w:cs="宋体"/>
          <w:i/>
          <w:color w:val="auto"/>
          <w:highlight w:val="none"/>
        </w:rPr>
        <w:t>”</w:t>
      </w:r>
      <w:r>
        <w:rPr>
          <w:rFonts w:hint="eastAsia" w:ascii="宋体" w:hAnsi="宋体" w:cs="宋体"/>
          <w:color w:val="auto"/>
          <w:highlight w:val="none"/>
        </w:rPr>
        <w:t>没有规定的评审因素和标准进行评标。</w:t>
      </w:r>
    </w:p>
    <w:p>
      <w:pPr>
        <w:pStyle w:val="6"/>
        <w:adjustRightInd w:val="0"/>
        <w:snapToGrid w:val="0"/>
        <w:spacing w:before="0" w:after="0" w:line="360" w:lineRule="auto"/>
        <w:jc w:val="both"/>
        <w:rPr>
          <w:rFonts w:ascii="宋体" w:hAnsi="宋体" w:eastAsia="宋体" w:cs="宋体"/>
          <w:color w:val="auto"/>
          <w:highlight w:val="none"/>
        </w:rPr>
      </w:pPr>
      <w:bookmarkStart w:id="90" w:name="_bookmark71"/>
      <w:bookmarkEnd w:id="90"/>
      <w:r>
        <w:rPr>
          <w:rFonts w:hint="eastAsia" w:ascii="宋体" w:hAnsi="宋体" w:eastAsia="宋体" w:cs="宋体"/>
          <w:color w:val="auto"/>
          <w:highlight w:val="none"/>
        </w:rPr>
        <w:t>8.4</w:t>
      </w:r>
      <w:r>
        <w:rPr>
          <w:rFonts w:hint="eastAsia" w:ascii="宋体" w:hAnsi="宋体" w:eastAsia="宋体" w:cs="宋体"/>
          <w:color w:val="auto"/>
          <w:spacing w:val="67"/>
          <w:highlight w:val="none"/>
        </w:rPr>
        <w:t xml:space="preserve"> </w:t>
      </w:r>
      <w:r>
        <w:rPr>
          <w:rFonts w:hint="eastAsia" w:ascii="宋体" w:hAnsi="宋体" w:eastAsia="宋体" w:cs="宋体"/>
          <w:color w:val="auto"/>
          <w:highlight w:val="none"/>
        </w:rPr>
        <w:t>对与评标活动有关的工作人员的纪律要求</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与评标活动有关的工作人员不得收受他人的财物或者其他好处，不得向他人透露对比选申请文件的评审和比较、中选候选人的推荐情况以及评标有关的其他情况。在评标活动中，与评标活动有关的工作人员不得擅离职守，影响评标程序正常进行。</w:t>
      </w:r>
    </w:p>
    <w:p>
      <w:pPr>
        <w:pStyle w:val="6"/>
        <w:adjustRightInd w:val="0"/>
        <w:snapToGrid w:val="0"/>
        <w:spacing w:before="0" w:after="0" w:line="360" w:lineRule="auto"/>
        <w:jc w:val="both"/>
        <w:rPr>
          <w:rFonts w:ascii="宋体" w:hAnsi="宋体" w:eastAsia="宋体" w:cs="宋体"/>
          <w:color w:val="auto"/>
          <w:highlight w:val="none"/>
        </w:rPr>
      </w:pPr>
      <w:bookmarkStart w:id="91" w:name="_bookmark72"/>
      <w:bookmarkEnd w:id="91"/>
      <w:r>
        <w:rPr>
          <w:rFonts w:hint="eastAsia" w:ascii="宋体" w:hAnsi="宋体" w:eastAsia="宋体" w:cs="宋体"/>
          <w:color w:val="auto"/>
          <w:highlight w:val="none"/>
        </w:rPr>
        <w:t>8.5</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投诉</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 xml:space="preserve">8.5.1  </w:t>
      </w:r>
      <w:r>
        <w:rPr>
          <w:rFonts w:hint="eastAsia" w:ascii="宋体" w:hAnsi="宋体" w:cs="宋体"/>
          <w:color w:val="auto"/>
          <w:spacing w:val="-4"/>
          <w:highlight w:val="none"/>
        </w:rPr>
        <w:t>比选申请人或者其他利害关系人认为比选活动不符合法律、行政法规规定的，可以自</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 xml:space="preserve">知道或者应当知道之日起 10 </w:t>
      </w:r>
      <w:r>
        <w:rPr>
          <w:rFonts w:hint="eastAsia" w:ascii="宋体" w:hAnsi="宋体" w:cs="宋体"/>
          <w:color w:val="auto"/>
          <w:spacing w:val="-4"/>
          <w:highlight w:val="none"/>
        </w:rPr>
        <w:t>日内向有关行政监督部门投诉。投诉应当有明确的请求和必要的证</w:t>
      </w:r>
      <w:r>
        <w:rPr>
          <w:rFonts w:hint="eastAsia" w:ascii="宋体" w:hAnsi="宋体" w:cs="宋体"/>
          <w:color w:val="auto"/>
          <w:highlight w:val="none"/>
        </w:rPr>
        <w:t>明材料。</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 xml:space="preserve">8.5.2  </w:t>
      </w:r>
      <w:r>
        <w:rPr>
          <w:rFonts w:hint="eastAsia" w:ascii="宋体" w:hAnsi="宋体" w:cs="宋体"/>
          <w:color w:val="auto"/>
          <w:spacing w:val="-4"/>
          <w:highlight w:val="none"/>
        </w:rPr>
        <w:t>比选申请人或者其他利害关系人对比选文件、开标和评标结果提出投诉的，应当按照比选申请</w:t>
      </w:r>
      <w:r>
        <w:rPr>
          <w:rFonts w:hint="eastAsia" w:ascii="宋体" w:hAnsi="宋体" w:cs="宋体"/>
          <w:color w:val="auto"/>
          <w:highlight w:val="none"/>
        </w:rPr>
        <w:t>人须</w:t>
      </w:r>
      <w:r>
        <w:rPr>
          <w:rFonts w:hint="eastAsia" w:ascii="宋体" w:hAnsi="宋体" w:cs="宋体"/>
          <w:color w:val="auto"/>
          <w:spacing w:val="-3"/>
          <w:highlight w:val="none"/>
        </w:rPr>
        <w:t>知</w:t>
      </w:r>
      <w:r>
        <w:rPr>
          <w:rFonts w:hint="eastAsia" w:ascii="宋体" w:hAnsi="宋体" w:cs="宋体"/>
          <w:color w:val="auto"/>
          <w:highlight w:val="none"/>
        </w:rPr>
        <w:t>第</w:t>
      </w:r>
      <w:r>
        <w:rPr>
          <w:rFonts w:hint="eastAsia" w:ascii="宋体" w:hAnsi="宋体" w:cs="宋体"/>
          <w:color w:val="auto"/>
          <w:spacing w:val="-65"/>
          <w:highlight w:val="none"/>
        </w:rPr>
        <w:t xml:space="preserve"> </w:t>
      </w:r>
      <w:r>
        <w:rPr>
          <w:rFonts w:hint="eastAsia" w:ascii="宋体" w:hAnsi="宋体" w:cs="宋体"/>
          <w:color w:val="auto"/>
          <w:highlight w:val="none"/>
        </w:rPr>
        <w:t>2.4</w:t>
      </w:r>
      <w:r>
        <w:rPr>
          <w:rFonts w:hint="eastAsia" w:ascii="宋体" w:hAnsi="宋体" w:cs="宋体"/>
          <w:color w:val="auto"/>
          <w:spacing w:val="-12"/>
          <w:highlight w:val="none"/>
        </w:rPr>
        <w:t xml:space="preserve"> </w:t>
      </w:r>
      <w:r>
        <w:rPr>
          <w:rFonts w:hint="eastAsia" w:ascii="宋体" w:hAnsi="宋体" w:cs="宋体"/>
          <w:color w:val="auto"/>
          <w:spacing w:val="-3"/>
          <w:highlight w:val="none"/>
        </w:rPr>
        <w:t>款</w:t>
      </w:r>
      <w:r>
        <w:rPr>
          <w:rFonts w:hint="eastAsia" w:ascii="宋体" w:hAnsi="宋体" w:cs="宋体"/>
          <w:color w:val="auto"/>
          <w:spacing w:val="-106"/>
          <w:highlight w:val="none"/>
        </w:rPr>
        <w:t>、</w:t>
      </w:r>
      <w:r>
        <w:rPr>
          <w:rFonts w:hint="eastAsia" w:ascii="宋体" w:hAnsi="宋体" w:cs="宋体"/>
          <w:color w:val="auto"/>
          <w:highlight w:val="none"/>
        </w:rPr>
        <w:t>第</w:t>
      </w:r>
      <w:r>
        <w:rPr>
          <w:rFonts w:hint="eastAsia" w:ascii="宋体" w:hAnsi="宋体" w:cs="宋体"/>
          <w:color w:val="auto"/>
          <w:spacing w:val="-65"/>
          <w:highlight w:val="none"/>
        </w:rPr>
        <w:t xml:space="preserve"> </w:t>
      </w:r>
      <w:r>
        <w:rPr>
          <w:rFonts w:hint="eastAsia" w:ascii="宋体" w:hAnsi="宋体" w:cs="宋体"/>
          <w:color w:val="auto"/>
          <w:highlight w:val="none"/>
        </w:rPr>
        <w:t>5.3</w:t>
      </w:r>
      <w:r>
        <w:rPr>
          <w:rFonts w:hint="eastAsia" w:ascii="宋体" w:hAnsi="宋体" w:cs="宋体"/>
          <w:color w:val="auto"/>
          <w:spacing w:val="-12"/>
          <w:highlight w:val="none"/>
        </w:rPr>
        <w:t xml:space="preserve"> </w:t>
      </w:r>
      <w:r>
        <w:rPr>
          <w:rFonts w:hint="eastAsia" w:ascii="宋体" w:hAnsi="宋体" w:cs="宋体"/>
          <w:color w:val="auto"/>
          <w:spacing w:val="-3"/>
          <w:highlight w:val="none"/>
        </w:rPr>
        <w:t>款</w:t>
      </w:r>
      <w:r>
        <w:rPr>
          <w:rFonts w:hint="eastAsia" w:ascii="宋体" w:hAnsi="宋体" w:cs="宋体"/>
          <w:color w:val="auto"/>
          <w:highlight w:val="none"/>
        </w:rPr>
        <w:t>和第</w:t>
      </w:r>
      <w:r>
        <w:rPr>
          <w:rFonts w:hint="eastAsia" w:ascii="宋体" w:hAnsi="宋体" w:cs="宋体"/>
          <w:color w:val="auto"/>
          <w:spacing w:val="-64"/>
          <w:highlight w:val="none"/>
        </w:rPr>
        <w:t xml:space="preserve"> </w:t>
      </w:r>
      <w:r>
        <w:rPr>
          <w:rFonts w:hint="eastAsia" w:ascii="宋体" w:hAnsi="宋体" w:cs="宋体"/>
          <w:color w:val="auto"/>
          <w:highlight w:val="none"/>
        </w:rPr>
        <w:t>7.2</w:t>
      </w:r>
      <w:r>
        <w:rPr>
          <w:rFonts w:hint="eastAsia" w:ascii="宋体" w:hAnsi="宋体" w:cs="宋体"/>
          <w:color w:val="auto"/>
          <w:spacing w:val="-12"/>
          <w:highlight w:val="none"/>
        </w:rPr>
        <w:t xml:space="preserve"> </w:t>
      </w:r>
      <w:r>
        <w:rPr>
          <w:rFonts w:hint="eastAsia" w:ascii="宋体" w:hAnsi="宋体" w:cs="宋体"/>
          <w:color w:val="auto"/>
          <w:spacing w:val="-3"/>
          <w:highlight w:val="none"/>
        </w:rPr>
        <w:t>款</w:t>
      </w:r>
      <w:r>
        <w:rPr>
          <w:rFonts w:hint="eastAsia" w:ascii="宋体" w:hAnsi="宋体" w:cs="宋体"/>
          <w:color w:val="auto"/>
          <w:highlight w:val="none"/>
        </w:rPr>
        <w:t>的</w:t>
      </w:r>
      <w:r>
        <w:rPr>
          <w:rFonts w:hint="eastAsia" w:ascii="宋体" w:hAnsi="宋体" w:cs="宋体"/>
          <w:color w:val="auto"/>
          <w:spacing w:val="-3"/>
          <w:highlight w:val="none"/>
        </w:rPr>
        <w:t>规</w:t>
      </w:r>
      <w:r>
        <w:rPr>
          <w:rFonts w:hint="eastAsia" w:ascii="宋体" w:hAnsi="宋体" w:cs="宋体"/>
          <w:color w:val="auto"/>
          <w:highlight w:val="none"/>
        </w:rPr>
        <w:t>定</w:t>
      </w:r>
      <w:r>
        <w:rPr>
          <w:rFonts w:hint="eastAsia" w:ascii="宋体" w:hAnsi="宋体" w:cs="宋体"/>
          <w:color w:val="auto"/>
          <w:spacing w:val="-3"/>
          <w:highlight w:val="none"/>
        </w:rPr>
        <w:t>先</w:t>
      </w:r>
      <w:r>
        <w:rPr>
          <w:rFonts w:hint="eastAsia" w:ascii="宋体" w:hAnsi="宋体" w:cs="宋体"/>
          <w:color w:val="auto"/>
          <w:highlight w:val="none"/>
        </w:rPr>
        <w:t>向</w:t>
      </w:r>
      <w:r>
        <w:rPr>
          <w:rFonts w:hint="eastAsia" w:ascii="宋体" w:hAnsi="宋体" w:cs="宋体"/>
          <w:color w:val="auto"/>
          <w:spacing w:val="-3"/>
          <w:highlight w:val="none"/>
        </w:rPr>
        <w:t>比选人</w:t>
      </w:r>
      <w:r>
        <w:rPr>
          <w:rFonts w:hint="eastAsia" w:ascii="宋体" w:hAnsi="宋体" w:cs="宋体"/>
          <w:color w:val="auto"/>
          <w:highlight w:val="none"/>
        </w:rPr>
        <w:t>提</w:t>
      </w:r>
      <w:r>
        <w:rPr>
          <w:rFonts w:hint="eastAsia" w:ascii="宋体" w:hAnsi="宋体" w:cs="宋体"/>
          <w:color w:val="auto"/>
          <w:spacing w:val="-3"/>
          <w:highlight w:val="none"/>
        </w:rPr>
        <w:t>出</w:t>
      </w:r>
      <w:r>
        <w:rPr>
          <w:rFonts w:hint="eastAsia" w:ascii="宋体" w:hAnsi="宋体" w:cs="宋体"/>
          <w:color w:val="auto"/>
          <w:highlight w:val="none"/>
        </w:rPr>
        <w:t>异</w:t>
      </w:r>
      <w:r>
        <w:rPr>
          <w:rFonts w:hint="eastAsia" w:ascii="宋体" w:hAnsi="宋体" w:cs="宋体"/>
          <w:color w:val="auto"/>
          <w:spacing w:val="-3"/>
          <w:highlight w:val="none"/>
        </w:rPr>
        <w:t>议</w:t>
      </w:r>
      <w:r>
        <w:rPr>
          <w:rFonts w:hint="eastAsia" w:ascii="宋体" w:hAnsi="宋体" w:cs="宋体"/>
          <w:color w:val="auto"/>
          <w:spacing w:val="-106"/>
          <w:highlight w:val="none"/>
        </w:rPr>
        <w:t>。</w:t>
      </w:r>
      <w:r>
        <w:rPr>
          <w:rFonts w:hint="eastAsia" w:ascii="宋体" w:hAnsi="宋体" w:cs="宋体"/>
          <w:color w:val="auto"/>
          <w:spacing w:val="-3"/>
          <w:highlight w:val="none"/>
        </w:rPr>
        <w:t>异</w:t>
      </w:r>
      <w:r>
        <w:rPr>
          <w:rFonts w:hint="eastAsia" w:ascii="宋体" w:hAnsi="宋体" w:cs="宋体"/>
          <w:color w:val="auto"/>
          <w:highlight w:val="none"/>
        </w:rPr>
        <w:t>议</w:t>
      </w:r>
      <w:r>
        <w:rPr>
          <w:rFonts w:hint="eastAsia" w:ascii="宋体" w:hAnsi="宋体" w:cs="宋体"/>
          <w:color w:val="auto"/>
          <w:spacing w:val="-3"/>
          <w:highlight w:val="none"/>
        </w:rPr>
        <w:t>答</w:t>
      </w:r>
      <w:r>
        <w:rPr>
          <w:rFonts w:hint="eastAsia" w:ascii="宋体" w:hAnsi="宋体" w:cs="宋体"/>
          <w:color w:val="auto"/>
          <w:highlight w:val="none"/>
        </w:rPr>
        <w:t>复</w:t>
      </w:r>
      <w:r>
        <w:rPr>
          <w:rFonts w:hint="eastAsia" w:ascii="宋体" w:hAnsi="宋体" w:cs="宋体"/>
          <w:color w:val="auto"/>
          <w:spacing w:val="-3"/>
          <w:highlight w:val="none"/>
        </w:rPr>
        <w:t>期间</w:t>
      </w:r>
      <w:r>
        <w:rPr>
          <w:rFonts w:hint="eastAsia" w:ascii="宋体" w:hAnsi="宋体" w:cs="宋体"/>
          <w:color w:val="auto"/>
          <w:highlight w:val="none"/>
        </w:rPr>
        <w:t>不计</w:t>
      </w:r>
      <w:r>
        <w:rPr>
          <w:rFonts w:hint="eastAsia" w:ascii="宋体" w:hAnsi="宋体" w:cs="宋体"/>
          <w:color w:val="auto"/>
          <w:spacing w:val="-3"/>
          <w:highlight w:val="none"/>
        </w:rPr>
        <w:t>算</w:t>
      </w:r>
      <w:r>
        <w:rPr>
          <w:rFonts w:hint="eastAsia" w:ascii="宋体" w:hAnsi="宋体" w:cs="宋体"/>
          <w:color w:val="auto"/>
          <w:highlight w:val="none"/>
        </w:rPr>
        <w:t>在第</w:t>
      </w:r>
      <w:r>
        <w:rPr>
          <w:rFonts w:hint="eastAsia" w:ascii="宋体" w:hAnsi="宋体" w:cs="宋体"/>
          <w:color w:val="auto"/>
          <w:spacing w:val="-65"/>
          <w:highlight w:val="none"/>
        </w:rPr>
        <w:t xml:space="preserve"> </w:t>
      </w:r>
      <w:r>
        <w:rPr>
          <w:rFonts w:hint="eastAsia" w:ascii="宋体" w:hAnsi="宋体" w:cs="宋体"/>
          <w:color w:val="auto"/>
          <w:highlight w:val="none"/>
        </w:rPr>
        <w:t>8</w:t>
      </w:r>
      <w:r>
        <w:rPr>
          <w:rFonts w:hint="eastAsia" w:ascii="宋体" w:hAnsi="宋体" w:cs="宋体"/>
          <w:color w:val="auto"/>
          <w:spacing w:val="-3"/>
          <w:highlight w:val="none"/>
        </w:rPr>
        <w:t>.</w:t>
      </w:r>
      <w:r>
        <w:rPr>
          <w:rFonts w:hint="eastAsia" w:ascii="宋体" w:hAnsi="宋体" w:cs="宋体"/>
          <w:color w:val="auto"/>
          <w:highlight w:val="none"/>
        </w:rPr>
        <w:t>5.1项规定的期限内。</w:t>
      </w:r>
    </w:p>
    <w:p>
      <w:pPr>
        <w:pStyle w:val="5"/>
        <w:adjustRightInd w:val="0"/>
        <w:snapToGrid w:val="0"/>
        <w:spacing w:before="0" w:after="0" w:line="360" w:lineRule="auto"/>
        <w:rPr>
          <w:rFonts w:ascii="宋体" w:hAnsi="宋体" w:eastAsia="宋体" w:cs="宋体"/>
          <w:color w:val="auto"/>
          <w:highlight w:val="none"/>
        </w:rPr>
      </w:pPr>
      <w:bookmarkStart w:id="92" w:name="_bookmark73"/>
      <w:bookmarkEnd w:id="92"/>
      <w:r>
        <w:rPr>
          <w:rFonts w:hint="eastAsia" w:ascii="宋体" w:hAnsi="宋体" w:eastAsia="宋体" w:cs="宋体"/>
          <w:color w:val="auto"/>
          <w:highlight w:val="none"/>
        </w:rPr>
        <w:t>9.  是否采用电子招标比选申请</w:t>
      </w:r>
    </w:p>
    <w:p>
      <w:pPr>
        <w:pStyle w:val="19"/>
        <w:adjustRightInd w:val="0"/>
        <w:snapToGrid w:val="0"/>
        <w:spacing w:after="0"/>
        <w:ind w:firstLine="420" w:firstLineChars="200"/>
        <w:jc w:val="both"/>
        <w:rPr>
          <w:rFonts w:ascii="宋体" w:hAnsi="宋体" w:cs="宋体"/>
          <w:color w:val="auto"/>
          <w:highlight w:val="none"/>
        </w:rPr>
      </w:pPr>
      <w:r>
        <w:rPr>
          <w:rFonts w:hint="eastAsia" w:ascii="宋体" w:hAnsi="宋体" w:cs="宋体"/>
          <w:color w:val="auto"/>
          <w:highlight w:val="none"/>
        </w:rPr>
        <w:t>本比选项目是否采用电子招标比选申请方式，见比选申请人须知前附表。</w:t>
      </w:r>
    </w:p>
    <w:p>
      <w:pPr>
        <w:pStyle w:val="5"/>
        <w:adjustRightInd w:val="0"/>
        <w:snapToGrid w:val="0"/>
        <w:spacing w:before="0" w:after="0" w:line="360" w:lineRule="auto"/>
        <w:rPr>
          <w:rFonts w:ascii="宋体" w:hAnsi="宋体" w:eastAsia="宋体" w:cs="宋体"/>
          <w:color w:val="auto"/>
          <w:highlight w:val="none"/>
        </w:rPr>
      </w:pPr>
      <w:bookmarkStart w:id="93" w:name="_bookmark74"/>
      <w:bookmarkEnd w:id="93"/>
      <w:r>
        <w:rPr>
          <w:rFonts w:hint="eastAsia" w:ascii="宋体" w:hAnsi="宋体" w:eastAsia="宋体" w:cs="宋体"/>
          <w:color w:val="auto"/>
          <w:highlight w:val="none"/>
        </w:rPr>
        <w:t>10.  需要补充的其他内容</w:t>
      </w:r>
    </w:p>
    <w:p>
      <w:pPr>
        <w:adjustRightInd w:val="0"/>
        <w:snapToGrid w:val="0"/>
        <w:ind w:firstLine="420" w:firstLineChars="200"/>
        <w:jc w:val="both"/>
        <w:rPr>
          <w:rFonts w:ascii="宋体" w:hAnsi="宋体" w:cs="宋体"/>
          <w:color w:val="auto"/>
          <w:highlight w:val="none"/>
        </w:rPr>
      </w:pPr>
      <w:r>
        <w:rPr>
          <w:rFonts w:hint="eastAsia" w:ascii="宋体" w:hAnsi="宋体" w:cs="宋体"/>
          <w:color w:val="auto"/>
          <w:highlight w:val="none"/>
        </w:rPr>
        <w:t>需要补充的其他内容：见比选申请人须知前附表。</w:t>
      </w:r>
      <w:r>
        <w:rPr>
          <w:rFonts w:hint="eastAsia" w:ascii="宋体" w:hAnsi="宋体" w:cs="宋体"/>
          <w:color w:val="auto"/>
          <w:highlight w:val="none"/>
        </w:rPr>
        <w:br w:type="page"/>
      </w: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t>附件一：开标记录表</w:t>
      </w:r>
    </w:p>
    <w:p>
      <w:pPr>
        <w:spacing w:line="440" w:lineRule="exact"/>
        <w:ind w:firstLine="560"/>
        <w:jc w:val="center"/>
        <w:rPr>
          <w:rFonts w:ascii="宋体" w:hAnsi="宋体" w:cs="宋体"/>
          <w:color w:val="auto"/>
          <w:sz w:val="28"/>
          <w:highlight w:val="none"/>
        </w:rPr>
      </w:pPr>
      <w:r>
        <w:rPr>
          <w:rFonts w:hint="eastAsia" w:ascii="宋体" w:hAnsi="宋体" w:cs="宋体"/>
          <w:color w:val="auto"/>
          <w:sz w:val="28"/>
          <w:highlight w:val="none"/>
        </w:rPr>
        <w:t>开标记录表</w:t>
      </w:r>
    </w:p>
    <w:p>
      <w:pPr>
        <w:spacing w:before="120" w:beforeLines="50" w:after="120" w:afterLines="50" w:line="400" w:lineRule="exact"/>
        <w:ind w:right="420" w:firstLine="420"/>
        <w:jc w:val="right"/>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rPr>
        <w:t>分</w:t>
      </w:r>
    </w:p>
    <w:p>
      <w:pPr>
        <w:wordWrap w:val="0"/>
        <w:spacing w:before="120" w:beforeLines="50" w:after="120" w:afterLines="50" w:line="400" w:lineRule="exact"/>
        <w:ind w:right="420" w:firstLine="420"/>
        <w:jc w:val="righ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标段</w:t>
      </w:r>
    </w:p>
    <w:tbl>
      <w:tblPr>
        <w:tblStyle w:val="37"/>
        <w:tblW w:w="0" w:type="auto"/>
        <w:jc w:val="center"/>
        <w:tblLayout w:type="fixed"/>
        <w:tblCellMar>
          <w:top w:w="0" w:type="dxa"/>
          <w:left w:w="108" w:type="dxa"/>
          <w:bottom w:w="0" w:type="dxa"/>
          <w:right w:w="108" w:type="dxa"/>
        </w:tblCellMar>
      </w:tblPr>
      <w:tblGrid>
        <w:gridCol w:w="649"/>
        <w:gridCol w:w="2323"/>
        <w:gridCol w:w="1134"/>
        <w:gridCol w:w="1417"/>
        <w:gridCol w:w="1417"/>
        <w:gridCol w:w="1418"/>
      </w:tblGrid>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 w:val="18"/>
                <w:highlight w:val="none"/>
              </w:rPr>
            </w:pPr>
            <w:r>
              <w:rPr>
                <w:rFonts w:hint="eastAsia" w:ascii="宋体" w:hAnsi="宋体" w:cs="宋体"/>
                <w:color w:val="auto"/>
                <w:sz w:val="18"/>
                <w:highlight w:val="none"/>
              </w:rPr>
              <w:t>序号</w:t>
            </w:r>
          </w:p>
        </w:tc>
        <w:tc>
          <w:tcPr>
            <w:tcW w:w="232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 w:val="18"/>
                <w:highlight w:val="none"/>
              </w:rPr>
            </w:pPr>
            <w:r>
              <w:rPr>
                <w:rFonts w:hint="eastAsia" w:ascii="宋体" w:hAnsi="宋体" w:cs="宋体"/>
                <w:color w:val="auto"/>
                <w:sz w:val="18"/>
                <w:highlight w:val="none"/>
              </w:rPr>
              <w:t>比选申请人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 w:val="18"/>
                <w:highlight w:val="none"/>
              </w:rPr>
            </w:pPr>
            <w:r>
              <w:rPr>
                <w:rFonts w:hint="eastAsia" w:ascii="宋体" w:hAnsi="宋体" w:cs="宋体"/>
                <w:color w:val="auto"/>
                <w:sz w:val="18"/>
                <w:highlight w:val="none"/>
              </w:rPr>
              <w:t>密封情况</w:t>
            </w:r>
          </w:p>
        </w:tc>
        <w:tc>
          <w:tcPr>
            <w:tcW w:w="1417"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color w:val="auto"/>
                <w:sz w:val="18"/>
                <w:highlight w:val="none"/>
              </w:rPr>
            </w:pPr>
            <w:r>
              <w:rPr>
                <w:rFonts w:hint="eastAsia" w:ascii="宋体" w:hAnsi="宋体" w:cs="宋体"/>
                <w:color w:val="auto"/>
                <w:sz w:val="18"/>
                <w:highlight w:val="none"/>
              </w:rPr>
              <w:t>比选申请报价（元）</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 w:val="18"/>
                <w:highlight w:val="none"/>
              </w:rPr>
            </w:pPr>
            <w:r>
              <w:rPr>
                <w:rFonts w:hint="eastAsia" w:ascii="宋体" w:hAnsi="宋体" w:cs="宋体"/>
                <w:color w:val="auto"/>
                <w:sz w:val="18"/>
                <w:highlight w:val="none"/>
              </w:rPr>
              <w:t>比选申请人代表签名</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 w:val="18"/>
                <w:highlight w:val="none"/>
              </w:rPr>
            </w:pPr>
            <w:r>
              <w:rPr>
                <w:rFonts w:hint="eastAsia" w:ascii="宋体" w:hAnsi="宋体" w:cs="宋体"/>
                <w:color w:val="auto"/>
                <w:sz w:val="18"/>
                <w:highlight w:val="none"/>
              </w:rPr>
              <w:t>备注</w:t>
            </w: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bookmarkStart w:id="94" w:name="_Toc17638"/>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highlight w:val="none"/>
              </w:rPr>
            </w:pPr>
          </w:p>
        </w:tc>
      </w:tr>
      <w:bookmarkEnd w:id="94"/>
    </w:tbl>
    <w:p>
      <w:pPr>
        <w:spacing w:line="440" w:lineRule="exact"/>
        <w:ind w:firstLine="420"/>
        <w:rPr>
          <w:rFonts w:ascii="宋体" w:hAnsi="宋体" w:cs="宋体"/>
          <w:color w:val="auto"/>
          <w:highlight w:val="none"/>
        </w:rPr>
      </w:pPr>
      <w:r>
        <w:rPr>
          <w:rFonts w:hint="eastAsia" w:ascii="宋体" w:hAnsi="宋体" w:cs="宋体"/>
          <w:color w:val="auto"/>
          <w:highlight w:val="none"/>
        </w:rPr>
        <w:t>　　　</w:t>
      </w:r>
    </w:p>
    <w:p>
      <w:pPr>
        <w:spacing w:line="620" w:lineRule="exact"/>
        <w:ind w:firstLine="420"/>
        <w:rPr>
          <w:rFonts w:ascii="宋体" w:hAnsi="宋体" w:cs="宋体"/>
          <w:color w:val="auto"/>
          <w:highlight w:val="none"/>
        </w:rPr>
      </w:pPr>
      <w:r>
        <w:rPr>
          <w:rFonts w:hint="eastAsia" w:ascii="宋体" w:hAnsi="宋体" w:cs="宋体"/>
          <w:color w:val="auto"/>
          <w:highlight w:val="none"/>
        </w:rPr>
        <w:t>启封人：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唱标人：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记录人：</w:t>
      </w:r>
      <w:r>
        <w:rPr>
          <w:rFonts w:hint="eastAsia" w:ascii="宋体" w:hAnsi="宋体" w:cs="宋体"/>
          <w:color w:val="auto"/>
          <w:highlight w:val="none"/>
          <w:u w:val="single"/>
        </w:rPr>
        <w:t xml:space="preserve">       </w:t>
      </w:r>
    </w:p>
    <w:p>
      <w:pPr>
        <w:spacing w:line="620" w:lineRule="exact"/>
        <w:ind w:firstLine="420"/>
        <w:jc w:val="center"/>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rPr>
        <w:br w:type="page"/>
      </w: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t>附件二：问题澄清通知</w:t>
      </w:r>
    </w:p>
    <w:p>
      <w:pPr>
        <w:spacing w:line="440" w:lineRule="exact"/>
        <w:ind w:firstLine="420"/>
        <w:jc w:val="center"/>
        <w:rPr>
          <w:rFonts w:ascii="宋体" w:hAnsi="宋体" w:cs="宋体"/>
          <w:color w:val="auto"/>
          <w:highlight w:val="none"/>
        </w:rPr>
      </w:pPr>
    </w:p>
    <w:p>
      <w:pPr>
        <w:spacing w:line="440" w:lineRule="exact"/>
        <w:ind w:firstLine="560"/>
        <w:jc w:val="center"/>
        <w:rPr>
          <w:rFonts w:ascii="宋体" w:hAnsi="宋体" w:cs="宋体"/>
          <w:color w:val="auto"/>
          <w:sz w:val="28"/>
          <w:highlight w:val="none"/>
        </w:rPr>
      </w:pPr>
      <w:r>
        <w:rPr>
          <w:rFonts w:hint="eastAsia" w:ascii="宋体" w:hAnsi="宋体" w:cs="宋体"/>
          <w:color w:val="auto"/>
          <w:sz w:val="28"/>
          <w:highlight w:val="none"/>
        </w:rPr>
        <w:t>问题澄清通知</w:t>
      </w:r>
    </w:p>
    <w:p>
      <w:pPr>
        <w:spacing w:line="440" w:lineRule="exact"/>
        <w:ind w:firstLine="420"/>
        <w:jc w:val="center"/>
        <w:rPr>
          <w:rFonts w:ascii="宋体" w:hAnsi="宋体" w:cs="宋体"/>
          <w:color w:val="auto"/>
          <w:highlight w:val="none"/>
        </w:rPr>
      </w:pPr>
      <w:r>
        <w:rPr>
          <w:rFonts w:hint="eastAsia" w:ascii="宋体" w:hAnsi="宋体" w:cs="宋体"/>
          <w:color w:val="auto"/>
          <w:highlight w:val="none"/>
        </w:rPr>
        <w:t>（编号：</w:t>
      </w:r>
      <w:r>
        <w:rPr>
          <w:rFonts w:hint="eastAsia" w:ascii="宋体" w:hAnsi="宋体" w:cs="宋体"/>
          <w:color w:val="auto"/>
          <w:sz w:val="28"/>
          <w:highlight w:val="none"/>
          <w:u w:val="single"/>
        </w:rPr>
        <w:t xml:space="preserve">               </w:t>
      </w:r>
      <w:r>
        <w:rPr>
          <w:rFonts w:hint="eastAsia" w:ascii="宋体" w:hAnsi="宋体" w:cs="宋体"/>
          <w:color w:val="auto"/>
          <w:highlight w:val="none"/>
        </w:rPr>
        <w:t>）</w:t>
      </w:r>
    </w:p>
    <w:p>
      <w:pPr>
        <w:spacing w:line="440" w:lineRule="exact"/>
        <w:ind w:firstLine="420"/>
        <w:rPr>
          <w:rFonts w:ascii="宋体" w:hAnsi="宋体" w:cs="宋体"/>
          <w:color w:val="auto"/>
          <w:highlight w:val="none"/>
        </w:rPr>
      </w:pPr>
    </w:p>
    <w:p>
      <w:pPr>
        <w:spacing w:line="440" w:lineRule="exact"/>
        <w:ind w:firstLine="42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（比选申请人名称）：</w:t>
      </w:r>
    </w:p>
    <w:p>
      <w:pPr>
        <w:spacing w:line="440" w:lineRule="exact"/>
        <w:ind w:firstLine="420"/>
        <w:rPr>
          <w:rFonts w:ascii="宋体" w:hAnsi="宋体" w:cs="宋体"/>
          <w:color w:val="auto"/>
          <w:highlight w:val="none"/>
        </w:rPr>
      </w:pPr>
    </w:p>
    <w:p>
      <w:pPr>
        <w:spacing w:line="440" w:lineRule="exact"/>
        <w:ind w:firstLine="420"/>
        <w:rPr>
          <w:rFonts w:ascii="宋体" w:hAnsi="宋体" w:cs="宋体"/>
          <w:color w:val="auto"/>
          <w:highlight w:val="none"/>
        </w:rPr>
      </w:pPr>
      <w:r>
        <w:rPr>
          <w:rFonts w:hint="eastAsia" w:ascii="宋体" w:hAnsi="宋体" w:cs="宋体"/>
          <w:color w:val="auto"/>
          <w:highlight w:val="none"/>
        </w:rPr>
        <w:t>　　评审委员会对你方的比选申请文件进行了仔细的审查，现需你方对下列问题以书</w:t>
      </w:r>
      <w:bookmarkStart w:id="95" w:name="_Toc247514000"/>
      <w:bookmarkStart w:id="96" w:name="_Toc152042352"/>
      <w:bookmarkStart w:id="97" w:name="_Toc144974544"/>
      <w:bookmarkStart w:id="98" w:name="_Toc152045576"/>
      <w:bookmarkStart w:id="99" w:name="_Toc247527601"/>
      <w:bookmarkStart w:id="100" w:name="_Toc361508634"/>
      <w:bookmarkStart w:id="101" w:name="_Toc352691521"/>
      <w:bookmarkStart w:id="102" w:name="_Toc384308260"/>
      <w:bookmarkStart w:id="103" w:name="_Toc369531565"/>
      <w:bookmarkStart w:id="104" w:name="_Toc300834996"/>
      <w:bookmarkStart w:id="105" w:name="_Toc23050"/>
      <w:r>
        <w:rPr>
          <w:rFonts w:hint="eastAsia" w:ascii="宋体" w:hAnsi="宋体" w:cs="宋体"/>
          <w:color w:val="auto"/>
          <w:highlight w:val="none"/>
        </w:rPr>
        <w:t>面形式予以澄清、说明或补正：</w:t>
      </w:r>
    </w:p>
    <w:p>
      <w:pPr>
        <w:spacing w:line="440" w:lineRule="exact"/>
        <w:ind w:firstLine="420"/>
        <w:rPr>
          <w:rFonts w:ascii="宋体" w:hAnsi="宋体" w:cs="宋体"/>
          <w:color w:val="auto"/>
          <w:highlight w:val="none"/>
        </w:rPr>
      </w:pPr>
      <w:r>
        <w:rPr>
          <w:rFonts w:hint="eastAsia" w:ascii="宋体" w:hAnsi="宋体" w:cs="宋体"/>
          <w:color w:val="auto"/>
          <w:highlight w:val="none"/>
        </w:rPr>
        <w:t>　　</w:t>
      </w:r>
    </w:p>
    <w:bookmarkEnd w:id="95"/>
    <w:bookmarkEnd w:id="96"/>
    <w:bookmarkEnd w:id="97"/>
    <w:bookmarkEnd w:id="98"/>
    <w:bookmarkEnd w:id="99"/>
    <w:bookmarkEnd w:id="100"/>
    <w:bookmarkEnd w:id="101"/>
    <w:bookmarkEnd w:id="102"/>
    <w:bookmarkEnd w:id="103"/>
    <w:bookmarkEnd w:id="104"/>
    <w:bookmarkEnd w:id="105"/>
    <w:p>
      <w:pPr>
        <w:spacing w:line="440" w:lineRule="exact"/>
        <w:ind w:firstLine="420"/>
        <w:rPr>
          <w:rFonts w:ascii="宋体" w:hAnsi="宋体" w:cs="宋体"/>
          <w:color w:val="auto"/>
          <w:highlight w:val="none"/>
        </w:rPr>
      </w:pPr>
      <w:r>
        <w:rPr>
          <w:rFonts w:hint="eastAsia" w:ascii="宋体" w:hAnsi="宋体" w:cs="宋体"/>
          <w:color w:val="auto"/>
          <w:highlight w:val="none"/>
        </w:rPr>
        <w:t xml:space="preserve">    1.</w:t>
      </w:r>
    </w:p>
    <w:p>
      <w:pPr>
        <w:spacing w:line="440" w:lineRule="exact"/>
        <w:ind w:firstLine="420"/>
        <w:rPr>
          <w:rFonts w:ascii="宋体" w:hAnsi="宋体" w:cs="宋体"/>
          <w:color w:val="auto"/>
          <w:highlight w:val="none"/>
        </w:rPr>
      </w:pPr>
      <w:r>
        <w:rPr>
          <w:rFonts w:hint="eastAsia" w:ascii="宋体" w:hAnsi="宋体" w:cs="宋体"/>
          <w:color w:val="auto"/>
          <w:highlight w:val="none"/>
        </w:rPr>
        <w:t xml:space="preserve">    2.</w:t>
      </w:r>
    </w:p>
    <w:p>
      <w:pPr>
        <w:spacing w:line="440" w:lineRule="exact"/>
        <w:ind w:firstLine="420"/>
        <w:rPr>
          <w:rFonts w:ascii="宋体" w:hAnsi="宋体" w:cs="宋体"/>
          <w:color w:val="auto"/>
          <w:highlight w:val="none"/>
        </w:rPr>
      </w:pPr>
      <w:r>
        <w:rPr>
          <w:rFonts w:hint="eastAsia" w:ascii="宋体" w:hAnsi="宋体" w:cs="宋体"/>
          <w:color w:val="auto"/>
          <w:highlight w:val="none"/>
        </w:rPr>
        <w:t xml:space="preserve">     ......   </w:t>
      </w:r>
    </w:p>
    <w:p>
      <w:pPr>
        <w:spacing w:line="440" w:lineRule="exact"/>
        <w:ind w:firstLine="420"/>
        <w:rPr>
          <w:rFonts w:ascii="宋体" w:hAnsi="宋体" w:cs="宋体"/>
          <w:color w:val="auto"/>
          <w:highlight w:val="none"/>
        </w:rPr>
      </w:pPr>
      <w:r>
        <w:rPr>
          <w:rFonts w:hint="eastAsia" w:ascii="宋体" w:hAnsi="宋体" w:cs="宋体"/>
          <w:color w:val="auto"/>
          <w:highlight w:val="none"/>
        </w:rPr>
        <w:t>　　　</w:t>
      </w:r>
    </w:p>
    <w:p>
      <w:pPr>
        <w:spacing w:line="440" w:lineRule="exact"/>
        <w:ind w:firstLine="420"/>
        <w:rPr>
          <w:rFonts w:ascii="宋体" w:hAnsi="宋体" w:cs="宋体"/>
          <w:color w:val="auto"/>
          <w:highlight w:val="none"/>
        </w:rPr>
      </w:pPr>
      <w:r>
        <w:rPr>
          <w:rFonts w:hint="eastAsia" w:ascii="宋体" w:hAnsi="宋体" w:cs="宋体"/>
          <w:color w:val="auto"/>
          <w:highlight w:val="none"/>
        </w:rPr>
        <w:t>请将上述问题的澄清、说明或补正于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时前递交至</w:t>
      </w:r>
      <w:bookmarkStart w:id="106" w:name="_Toc352691522"/>
      <w:bookmarkStart w:id="107" w:name="_Toc152042353"/>
      <w:bookmarkStart w:id="108" w:name="_Toc144974545"/>
      <w:bookmarkStart w:id="109" w:name="_Toc361508635"/>
      <w:bookmarkStart w:id="110" w:name="_Toc28385"/>
      <w:bookmarkStart w:id="111" w:name="_Toc369531566"/>
      <w:bookmarkStart w:id="112" w:name="_Toc152045577"/>
      <w:bookmarkStart w:id="113" w:name="_Toc300834997"/>
      <w:bookmarkStart w:id="114" w:name="_Toc247514001"/>
      <w:bookmarkStart w:id="115" w:name="_Toc384308261"/>
      <w:bookmarkStart w:id="116" w:name="_Toc247527602"/>
    </w:p>
    <w:p>
      <w:pPr>
        <w:spacing w:line="440" w:lineRule="exact"/>
        <w:ind w:firstLine="42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（详细地址）或传真至</w:t>
      </w:r>
      <w:bookmarkEnd w:id="106"/>
      <w:bookmarkEnd w:id="107"/>
      <w:bookmarkEnd w:id="108"/>
      <w:bookmarkEnd w:id="109"/>
      <w:bookmarkEnd w:id="110"/>
      <w:bookmarkEnd w:id="111"/>
      <w:bookmarkEnd w:id="112"/>
      <w:bookmarkEnd w:id="113"/>
      <w:bookmarkEnd w:id="114"/>
      <w:bookmarkEnd w:id="115"/>
      <w:bookmarkEnd w:id="116"/>
      <w:r>
        <w:rPr>
          <w:rFonts w:hint="eastAsia" w:ascii="宋体" w:hAnsi="宋体" w:cs="宋体"/>
          <w:color w:val="auto"/>
          <w:highlight w:val="none"/>
          <w:u w:val="single"/>
        </w:rPr>
        <w:t xml:space="preserve">                     </w:t>
      </w:r>
      <w:r>
        <w:rPr>
          <w:rFonts w:hint="eastAsia" w:ascii="宋体" w:hAnsi="宋体" w:cs="宋体"/>
          <w:color w:val="auto"/>
          <w:highlight w:val="none"/>
        </w:rPr>
        <w:t>（传真号码）或通过下载比选文件的电子比选交易平台上传。采用传真方式的，应在</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p>
    <w:p>
      <w:pPr>
        <w:spacing w:line="440" w:lineRule="exact"/>
        <w:ind w:firstLine="42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时前将原件递交至</w:t>
      </w:r>
      <w:r>
        <w:rPr>
          <w:rFonts w:hint="eastAsia" w:ascii="宋体" w:hAnsi="宋体" w:cs="宋体"/>
          <w:color w:val="auto"/>
          <w:highlight w:val="none"/>
          <w:u w:val="single"/>
        </w:rPr>
        <w:t xml:space="preserve">                     </w:t>
      </w:r>
      <w:r>
        <w:rPr>
          <w:rFonts w:hint="eastAsia" w:ascii="宋体" w:hAnsi="宋体" w:cs="宋体"/>
          <w:color w:val="auto"/>
          <w:highlight w:val="none"/>
        </w:rPr>
        <w:t>（详细地址）。</w:t>
      </w:r>
    </w:p>
    <w:p>
      <w:pPr>
        <w:spacing w:line="440" w:lineRule="exact"/>
        <w:ind w:firstLine="420"/>
        <w:rPr>
          <w:rFonts w:ascii="宋体" w:hAnsi="宋体" w:cs="宋体"/>
          <w:color w:val="auto"/>
          <w:highlight w:val="none"/>
        </w:rPr>
      </w:pPr>
    </w:p>
    <w:p>
      <w:pPr>
        <w:spacing w:line="440" w:lineRule="exact"/>
        <w:ind w:firstLine="420"/>
        <w:rPr>
          <w:rFonts w:ascii="宋体" w:hAnsi="宋体" w:cs="宋体"/>
          <w:color w:val="auto"/>
          <w:highlight w:val="none"/>
        </w:rPr>
      </w:pPr>
    </w:p>
    <w:p>
      <w:pPr>
        <w:spacing w:line="440" w:lineRule="exact"/>
        <w:ind w:firstLine="2100" w:firstLineChars="1000"/>
        <w:rPr>
          <w:rFonts w:ascii="宋体" w:hAnsi="宋体" w:cs="宋体"/>
          <w:color w:val="auto"/>
          <w:highlight w:val="none"/>
        </w:rPr>
      </w:pPr>
      <w:r>
        <w:rPr>
          <w:rFonts w:hint="eastAsia" w:ascii="宋体" w:hAnsi="宋体" w:cs="宋体"/>
          <w:color w:val="auto"/>
          <w:highlight w:val="none"/>
        </w:rPr>
        <w:t>评审委员会授权的比选人或比选代理机构：</w:t>
      </w:r>
      <w:r>
        <w:rPr>
          <w:rFonts w:hint="eastAsia" w:ascii="宋体" w:hAnsi="宋体" w:cs="宋体"/>
          <w:color w:val="auto"/>
          <w:sz w:val="28"/>
          <w:highlight w:val="none"/>
          <w:u w:val="single"/>
        </w:rPr>
        <w:t xml:space="preserve">      </w:t>
      </w:r>
      <w:r>
        <w:rPr>
          <w:rFonts w:hint="eastAsia" w:ascii="宋体" w:hAnsi="宋体" w:cs="宋体"/>
          <w:color w:val="auto"/>
          <w:highlight w:val="none"/>
        </w:rPr>
        <w:t>（签字或盖章）</w:t>
      </w:r>
      <w:bookmarkStart w:id="117" w:name="_Toc152042354"/>
      <w:bookmarkStart w:id="118" w:name="_Toc247514002"/>
      <w:bookmarkStart w:id="119" w:name="_Toc152045578"/>
      <w:bookmarkStart w:id="120" w:name="_Toc6580"/>
      <w:bookmarkStart w:id="121" w:name="_Toc300834998"/>
      <w:bookmarkStart w:id="122" w:name="_Toc247527603"/>
      <w:bookmarkStart w:id="123" w:name="_Toc352691523"/>
      <w:bookmarkStart w:id="124" w:name="_Toc384308262"/>
      <w:bookmarkStart w:id="125" w:name="_Toc369531567"/>
      <w:bookmarkStart w:id="126" w:name="_Toc361508636"/>
      <w:bookmarkStart w:id="127" w:name="_Toc144974546"/>
    </w:p>
    <w:bookmarkEnd w:id="117"/>
    <w:bookmarkEnd w:id="118"/>
    <w:bookmarkEnd w:id="119"/>
    <w:bookmarkEnd w:id="120"/>
    <w:bookmarkEnd w:id="121"/>
    <w:bookmarkEnd w:id="122"/>
    <w:bookmarkEnd w:id="123"/>
    <w:bookmarkEnd w:id="124"/>
    <w:bookmarkEnd w:id="125"/>
    <w:bookmarkEnd w:id="126"/>
    <w:p>
      <w:pPr>
        <w:spacing w:line="440" w:lineRule="exact"/>
        <w:ind w:firstLine="420"/>
        <w:rPr>
          <w:rFonts w:ascii="宋体" w:hAnsi="宋体" w:cs="宋体"/>
          <w:color w:val="auto"/>
          <w:highlight w:val="none"/>
        </w:rPr>
      </w:pPr>
      <w:bookmarkStart w:id="128" w:name="_Toc152042355"/>
    </w:p>
    <w:p>
      <w:pPr>
        <w:spacing w:line="440" w:lineRule="exact"/>
        <w:ind w:right="840" w:firstLine="420"/>
        <w:jc w:val="righ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00" w:lineRule="exact"/>
        <w:ind w:firstLine="420"/>
        <w:rPr>
          <w:rFonts w:ascii="宋体" w:hAnsi="宋体" w:cs="宋体"/>
          <w:color w:val="auto"/>
          <w:highlight w:val="none"/>
        </w:rPr>
      </w:pPr>
    </w:p>
    <w:p>
      <w:pPr>
        <w:spacing w:line="400" w:lineRule="exact"/>
        <w:ind w:firstLine="420"/>
        <w:rPr>
          <w:rFonts w:ascii="宋体" w:hAnsi="宋体" w:cs="宋体"/>
          <w:color w:val="auto"/>
          <w:highlight w:val="none"/>
        </w:rPr>
      </w:pPr>
      <w:r>
        <w:rPr>
          <w:rFonts w:hint="eastAsia" w:ascii="宋体" w:hAnsi="宋体" w:cs="宋体"/>
          <w:color w:val="auto"/>
          <w:highlight w:val="none"/>
        </w:rPr>
        <w:br w:type="page"/>
      </w: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t>附件三：问题的澄清</w:t>
      </w:r>
    </w:p>
    <w:p>
      <w:pPr>
        <w:spacing w:line="400" w:lineRule="exact"/>
        <w:ind w:firstLine="560"/>
        <w:jc w:val="center"/>
        <w:rPr>
          <w:rFonts w:ascii="宋体" w:hAnsi="宋体" w:cs="宋体"/>
          <w:color w:val="auto"/>
          <w:sz w:val="28"/>
          <w:highlight w:val="none"/>
        </w:rPr>
      </w:pPr>
    </w:p>
    <w:p>
      <w:pPr>
        <w:spacing w:line="400" w:lineRule="exact"/>
        <w:ind w:firstLine="560"/>
        <w:jc w:val="center"/>
        <w:rPr>
          <w:rFonts w:ascii="宋体" w:hAnsi="宋体" w:cs="宋体"/>
          <w:color w:val="auto"/>
          <w:sz w:val="28"/>
          <w:highlight w:val="none"/>
        </w:rPr>
      </w:pPr>
      <w:r>
        <w:rPr>
          <w:rFonts w:hint="eastAsia" w:ascii="宋体" w:hAnsi="宋体" w:cs="宋体"/>
          <w:color w:val="auto"/>
          <w:sz w:val="28"/>
          <w:highlight w:val="none"/>
        </w:rPr>
        <w:t>问</w:t>
      </w:r>
      <w:bookmarkEnd w:id="128"/>
      <w:r>
        <w:rPr>
          <w:rFonts w:hint="eastAsia" w:ascii="宋体" w:hAnsi="宋体" w:cs="宋体"/>
          <w:color w:val="auto"/>
          <w:sz w:val="28"/>
          <w:highlight w:val="none"/>
        </w:rPr>
        <w:t>题</w:t>
      </w:r>
      <w:bookmarkStart w:id="129" w:name="_Toc300834999"/>
      <w:bookmarkStart w:id="130" w:name="_Toc384308263"/>
      <w:bookmarkStart w:id="131" w:name="_Toc352691524"/>
      <w:bookmarkStart w:id="132" w:name="_Toc152042356"/>
      <w:bookmarkStart w:id="133" w:name="_Toc247527604"/>
      <w:bookmarkStart w:id="134" w:name="_Toc3622"/>
      <w:bookmarkStart w:id="135" w:name="_Toc369531568"/>
      <w:bookmarkStart w:id="136" w:name="_Toc361508637"/>
      <w:bookmarkStart w:id="137" w:name="_Toc152045579"/>
      <w:bookmarkStart w:id="138" w:name="_Toc247514003"/>
      <w:r>
        <w:rPr>
          <w:rFonts w:hint="eastAsia" w:ascii="宋体" w:hAnsi="宋体" w:cs="宋体"/>
          <w:color w:val="auto"/>
          <w:sz w:val="28"/>
          <w:highlight w:val="none"/>
        </w:rPr>
        <w:t>的澄清</w:t>
      </w:r>
    </w:p>
    <w:p>
      <w:pPr>
        <w:spacing w:line="400" w:lineRule="exact"/>
        <w:ind w:firstLine="3465" w:firstLineChars="1650"/>
        <w:rPr>
          <w:rFonts w:ascii="宋体" w:hAnsi="宋体" w:cs="宋体"/>
          <w:color w:val="auto"/>
          <w:highlight w:val="none"/>
        </w:rPr>
      </w:pPr>
      <w:r>
        <w:rPr>
          <w:rFonts w:hint="eastAsia" w:ascii="宋体" w:hAnsi="宋体" w:cs="宋体"/>
          <w:color w:val="auto"/>
          <w:highlight w:val="none"/>
        </w:rPr>
        <w:t>（编号</w:t>
      </w:r>
      <w:bookmarkEnd w:id="127"/>
      <w:bookmarkEnd w:id="129"/>
      <w:bookmarkEnd w:id="130"/>
      <w:bookmarkEnd w:id="131"/>
      <w:bookmarkEnd w:id="132"/>
      <w:bookmarkEnd w:id="133"/>
      <w:bookmarkEnd w:id="134"/>
      <w:bookmarkEnd w:id="135"/>
      <w:bookmarkEnd w:id="136"/>
      <w:bookmarkEnd w:id="137"/>
      <w:bookmarkEnd w:id="138"/>
      <w:r>
        <w:rPr>
          <w:rFonts w:hint="eastAsia" w:ascii="宋体" w:hAnsi="宋体" w:cs="宋体"/>
          <w:color w:val="auto"/>
          <w:highlight w:val="none"/>
        </w:rPr>
        <w:t>：</w:t>
      </w:r>
      <w:r>
        <w:rPr>
          <w:rFonts w:hint="eastAsia" w:ascii="宋体" w:hAnsi="宋体" w:cs="宋体"/>
          <w:color w:val="auto"/>
          <w:sz w:val="28"/>
          <w:highlight w:val="none"/>
          <w:u w:val="single"/>
        </w:rPr>
        <w:t xml:space="preserve">           </w:t>
      </w:r>
      <w:r>
        <w:rPr>
          <w:rFonts w:hint="eastAsia" w:ascii="宋体" w:hAnsi="宋体" w:cs="宋体"/>
          <w:color w:val="auto"/>
          <w:highlight w:val="none"/>
        </w:rPr>
        <w:t>）</w:t>
      </w:r>
    </w:p>
    <w:p>
      <w:pPr>
        <w:spacing w:line="400" w:lineRule="exact"/>
        <w:ind w:firstLine="420"/>
        <w:rPr>
          <w:rFonts w:ascii="宋体" w:hAnsi="宋体" w:cs="宋体"/>
          <w:color w:val="auto"/>
          <w:highlight w:val="none"/>
        </w:rPr>
      </w:pPr>
    </w:p>
    <w:p>
      <w:pPr>
        <w:spacing w:line="440" w:lineRule="exact"/>
        <w:ind w:firstLine="420"/>
        <w:rPr>
          <w:rFonts w:ascii="宋体" w:hAnsi="宋体" w:cs="宋体"/>
          <w:color w:val="auto"/>
          <w:highlight w:val="none"/>
        </w:rPr>
      </w:pPr>
      <w:r>
        <w:rPr>
          <w:rFonts w:hint="eastAsia" w:ascii="宋体" w:hAnsi="宋体" w:cs="宋体"/>
          <w:color w:val="auto"/>
          <w:highlight w:val="none"/>
        </w:rPr>
        <w:t>评审委员会：</w:t>
      </w:r>
    </w:p>
    <w:p>
      <w:pPr>
        <w:spacing w:line="440" w:lineRule="exact"/>
        <w:ind w:firstLine="420"/>
        <w:rPr>
          <w:rFonts w:ascii="宋体" w:hAnsi="宋体" w:cs="宋体"/>
          <w:color w:val="auto"/>
          <w:highlight w:val="none"/>
        </w:rPr>
      </w:pPr>
    </w:p>
    <w:p>
      <w:pPr>
        <w:spacing w:line="440" w:lineRule="exact"/>
        <w:ind w:firstLine="420"/>
        <w:rPr>
          <w:rFonts w:ascii="宋体" w:hAnsi="宋体" w:cs="宋体"/>
          <w:color w:val="auto"/>
          <w:highlight w:val="none"/>
        </w:rPr>
      </w:pPr>
      <w:r>
        <w:rPr>
          <w:rFonts w:hint="eastAsia" w:ascii="宋体" w:hAnsi="宋体" w:cs="宋体"/>
          <w:color w:val="auto"/>
          <w:highlight w:val="none"/>
        </w:rPr>
        <w:t>　　问题澄清通知（编号：</w:t>
      </w:r>
      <w:r>
        <w:rPr>
          <w:rFonts w:hint="eastAsia" w:ascii="宋体" w:hAnsi="宋体" w:cs="宋体"/>
          <w:color w:val="auto"/>
          <w:sz w:val="28"/>
          <w:highlight w:val="none"/>
          <w:u w:val="single"/>
        </w:rPr>
        <w:t xml:space="preserve">      </w:t>
      </w:r>
      <w:r>
        <w:rPr>
          <w:rFonts w:hint="eastAsia" w:ascii="宋体" w:hAnsi="宋体" w:cs="宋体"/>
          <w:color w:val="auto"/>
          <w:highlight w:val="none"/>
        </w:rPr>
        <w:t>）已收悉，现澄清、说明或补正如下：</w:t>
      </w:r>
    </w:p>
    <w:p>
      <w:pPr>
        <w:spacing w:line="440" w:lineRule="exact"/>
        <w:ind w:firstLine="420"/>
        <w:rPr>
          <w:rFonts w:ascii="宋体" w:hAnsi="宋体" w:cs="宋体"/>
          <w:color w:val="auto"/>
          <w:highlight w:val="none"/>
        </w:rPr>
      </w:pPr>
      <w:r>
        <w:rPr>
          <w:rFonts w:hint="eastAsia" w:ascii="宋体" w:hAnsi="宋体" w:cs="宋体"/>
          <w:color w:val="auto"/>
          <w:highlight w:val="none"/>
        </w:rPr>
        <w:t>　     1.</w:t>
      </w:r>
    </w:p>
    <w:p>
      <w:pPr>
        <w:spacing w:line="440" w:lineRule="exact"/>
        <w:ind w:firstLine="420"/>
        <w:rPr>
          <w:rFonts w:ascii="宋体" w:hAnsi="宋体" w:cs="宋体"/>
          <w:color w:val="auto"/>
          <w:highlight w:val="none"/>
        </w:rPr>
      </w:pPr>
      <w:r>
        <w:rPr>
          <w:rFonts w:hint="eastAsia" w:ascii="宋体" w:hAnsi="宋体" w:cs="宋体"/>
          <w:color w:val="auto"/>
          <w:highlight w:val="none"/>
        </w:rPr>
        <w:t>　     2.</w:t>
      </w:r>
    </w:p>
    <w:p>
      <w:pPr>
        <w:spacing w:line="440" w:lineRule="exact"/>
        <w:ind w:firstLine="420"/>
        <w:rPr>
          <w:rFonts w:ascii="宋体" w:hAnsi="宋体" w:cs="宋体"/>
          <w:color w:val="auto"/>
          <w:highlight w:val="none"/>
        </w:rPr>
      </w:pPr>
      <w:r>
        <w:rPr>
          <w:rFonts w:hint="eastAsia" w:ascii="宋体" w:hAnsi="宋体" w:cs="宋体"/>
          <w:color w:val="auto"/>
          <w:highlight w:val="none"/>
        </w:rPr>
        <w:t>　    .....</w:t>
      </w:r>
    </w:p>
    <w:p>
      <w:pPr>
        <w:spacing w:line="440" w:lineRule="exact"/>
        <w:ind w:firstLine="420"/>
        <w:rPr>
          <w:rFonts w:ascii="宋体" w:hAnsi="宋体" w:cs="宋体"/>
          <w:color w:val="auto"/>
          <w:highlight w:val="none"/>
        </w:rPr>
      </w:pPr>
    </w:p>
    <w:p>
      <w:pPr>
        <w:spacing w:line="440" w:lineRule="exact"/>
        <w:ind w:firstLine="420"/>
        <w:rPr>
          <w:rFonts w:ascii="宋体" w:hAnsi="宋体" w:cs="宋体"/>
          <w:color w:val="auto"/>
          <w:highlight w:val="none"/>
        </w:rPr>
      </w:pPr>
      <w:r>
        <w:rPr>
          <w:rFonts w:hint="eastAsia" w:ascii="宋体" w:hAnsi="宋体" w:cs="宋体"/>
          <w:color w:val="auto"/>
          <w:highlight w:val="none"/>
        </w:rPr>
        <w:t>　</w:t>
      </w:r>
    </w:p>
    <w:p>
      <w:pPr>
        <w:spacing w:line="440" w:lineRule="exact"/>
        <w:ind w:firstLine="420"/>
        <w:rPr>
          <w:rFonts w:ascii="宋体" w:hAnsi="宋体" w:cs="宋体"/>
          <w:color w:val="auto"/>
          <w:highlight w:val="none"/>
        </w:rPr>
      </w:pP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上述问题澄清、说明或补正，不改变我方比选申请文件的实质性内容，构成我方比选申请文件的组成部分。</w:t>
      </w:r>
    </w:p>
    <w:p>
      <w:pPr>
        <w:spacing w:line="440" w:lineRule="exact"/>
        <w:ind w:firstLine="420"/>
        <w:rPr>
          <w:rFonts w:ascii="宋体" w:hAnsi="宋体" w:cs="宋体"/>
          <w:color w:val="auto"/>
          <w:highlight w:val="none"/>
        </w:rPr>
      </w:pPr>
    </w:p>
    <w:p>
      <w:pPr>
        <w:spacing w:line="440" w:lineRule="exact"/>
        <w:ind w:firstLine="420"/>
        <w:rPr>
          <w:rFonts w:ascii="宋体" w:hAnsi="宋体" w:cs="宋体"/>
          <w:color w:val="auto"/>
          <w:highlight w:val="none"/>
        </w:rPr>
      </w:pPr>
    </w:p>
    <w:p>
      <w:pPr>
        <w:spacing w:line="480" w:lineRule="auto"/>
        <w:ind w:firstLine="420"/>
        <w:rPr>
          <w:rFonts w:ascii="宋体" w:hAnsi="宋体" w:cs="宋体"/>
          <w:color w:val="auto"/>
          <w:highlight w:val="none"/>
        </w:rPr>
      </w:pPr>
      <w:r>
        <w:rPr>
          <w:rFonts w:hint="eastAsia" w:ascii="宋体" w:hAnsi="宋体" w:cs="宋体"/>
          <w:color w:val="auto"/>
          <w:highlight w:val="none"/>
        </w:rPr>
        <w:t>　　　　　　　　　　　　　　比选申请人：</w:t>
      </w:r>
      <w:r>
        <w:rPr>
          <w:rFonts w:hint="eastAsia" w:ascii="宋体" w:hAnsi="宋体" w:cs="宋体"/>
          <w:color w:val="auto"/>
          <w:sz w:val="28"/>
          <w:highlight w:val="none"/>
          <w:u w:val="single"/>
        </w:rPr>
        <w:t xml:space="preserve">                         </w:t>
      </w:r>
      <w:r>
        <w:rPr>
          <w:rFonts w:hint="eastAsia" w:ascii="宋体" w:hAnsi="宋体" w:cs="宋体"/>
          <w:color w:val="auto"/>
          <w:highlight w:val="none"/>
        </w:rPr>
        <w:t>（盖单位章）</w:t>
      </w:r>
    </w:p>
    <w:p>
      <w:pPr>
        <w:spacing w:line="480" w:lineRule="auto"/>
        <w:ind w:firstLine="2835" w:firstLineChars="1350"/>
        <w:rPr>
          <w:rFonts w:ascii="宋体" w:hAnsi="宋体" w:cs="宋体"/>
          <w:color w:val="auto"/>
          <w:highlight w:val="none"/>
        </w:rPr>
      </w:pPr>
      <w:r>
        <w:rPr>
          <w:rFonts w:hint="eastAsia" w:ascii="宋体" w:hAnsi="宋体" w:cs="宋体"/>
          <w:color w:val="auto"/>
          <w:highlight w:val="none"/>
        </w:rPr>
        <w:t xml:space="preserve"> 法定代表人（单位负责人）或其委托代理人：</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pPr>
        <w:spacing w:line="440" w:lineRule="exact"/>
        <w:ind w:firstLine="420"/>
        <w:rPr>
          <w:rFonts w:ascii="宋体" w:hAnsi="宋体" w:cs="宋体"/>
          <w:color w:val="auto"/>
          <w:highlight w:val="none"/>
        </w:rPr>
      </w:pPr>
      <w:r>
        <w:rPr>
          <w:rFonts w:hint="eastAsia" w:ascii="宋体" w:hAnsi="宋体" w:cs="宋体"/>
          <w:color w:val="auto"/>
          <w:highlight w:val="none"/>
        </w:rPr>
        <w:t>　　　　　　　　　　　　　　　</w:t>
      </w:r>
    </w:p>
    <w:p>
      <w:pPr>
        <w:spacing w:line="440" w:lineRule="exact"/>
        <w:ind w:firstLine="420"/>
        <w:jc w:val="right"/>
        <w:rPr>
          <w:rFonts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u w:val="single"/>
        </w:rPr>
        <w:t xml:space="preserve">        </w:t>
      </w:r>
      <w:r>
        <w:rPr>
          <w:rFonts w:hint="eastAsia" w:ascii="宋体" w:hAnsi="宋体" w:cs="宋体"/>
          <w:color w:val="auto"/>
          <w:highlight w:val="none"/>
        </w:rPr>
        <w:t>年</w:t>
      </w:r>
      <w:bookmarkStart w:id="139" w:name="_Toc152045581"/>
      <w:bookmarkStart w:id="140" w:name="_Toc144974548"/>
      <w:bookmarkStart w:id="141" w:name="_Toc15139"/>
      <w:bookmarkStart w:id="142" w:name="_Toc247527606"/>
      <w:bookmarkStart w:id="143" w:name="_Toc152042358"/>
      <w:bookmarkStart w:id="144" w:name="_Toc352691527"/>
      <w:bookmarkStart w:id="145" w:name="_Toc384308266"/>
      <w:bookmarkStart w:id="146" w:name="_Toc361508640"/>
      <w:bookmarkStart w:id="147" w:name="_Toc247514005"/>
      <w:bookmarkStart w:id="148" w:name="_Toc300835002"/>
      <w:bookmarkStart w:id="149" w:name="_Toc369531571"/>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bookmarkEnd w:id="139"/>
    <w:bookmarkEnd w:id="140"/>
    <w:bookmarkEnd w:id="141"/>
    <w:bookmarkEnd w:id="142"/>
    <w:bookmarkEnd w:id="143"/>
    <w:bookmarkEnd w:id="144"/>
    <w:bookmarkEnd w:id="145"/>
    <w:bookmarkEnd w:id="146"/>
    <w:bookmarkEnd w:id="147"/>
    <w:bookmarkEnd w:id="148"/>
    <w:bookmarkEnd w:id="149"/>
    <w:p>
      <w:pPr>
        <w:spacing w:line="400" w:lineRule="exact"/>
        <w:ind w:firstLine="420"/>
        <w:rPr>
          <w:rFonts w:ascii="宋体" w:hAnsi="宋体" w:cs="宋体"/>
          <w:color w:val="auto"/>
          <w:highlight w:val="none"/>
        </w:rPr>
      </w:pPr>
    </w:p>
    <w:p>
      <w:pPr>
        <w:spacing w:line="400" w:lineRule="exact"/>
        <w:ind w:firstLine="420"/>
        <w:rPr>
          <w:rFonts w:ascii="宋体" w:hAnsi="宋体" w:cs="宋体"/>
          <w:color w:val="auto"/>
          <w:highlight w:val="none"/>
        </w:rPr>
      </w:pPr>
      <w:r>
        <w:rPr>
          <w:rFonts w:hint="eastAsia" w:ascii="宋体" w:hAnsi="宋体" w:cs="宋体"/>
          <w:color w:val="auto"/>
          <w:highlight w:val="none"/>
        </w:rPr>
        <w:br w:type="page"/>
      </w: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t>附件四：中选通知书</w:t>
      </w:r>
    </w:p>
    <w:p>
      <w:pPr>
        <w:spacing w:line="400" w:lineRule="exact"/>
        <w:ind w:firstLine="420"/>
        <w:rPr>
          <w:rFonts w:ascii="宋体" w:hAnsi="宋体" w:cs="宋体"/>
          <w:color w:val="auto"/>
          <w:highlight w:val="none"/>
        </w:rPr>
      </w:pPr>
    </w:p>
    <w:p>
      <w:pPr>
        <w:spacing w:line="400" w:lineRule="exact"/>
        <w:ind w:firstLine="560"/>
        <w:jc w:val="center"/>
        <w:rPr>
          <w:rFonts w:ascii="宋体" w:hAnsi="宋体" w:cs="宋体"/>
          <w:color w:val="auto"/>
          <w:sz w:val="28"/>
          <w:highlight w:val="none"/>
        </w:rPr>
      </w:pPr>
      <w:r>
        <w:rPr>
          <w:rFonts w:hint="eastAsia" w:ascii="宋体" w:hAnsi="宋体" w:cs="宋体"/>
          <w:color w:val="auto"/>
          <w:sz w:val="28"/>
          <w:highlight w:val="none"/>
        </w:rPr>
        <w:t>中选通知书</w:t>
      </w:r>
    </w:p>
    <w:p>
      <w:pPr>
        <w:spacing w:line="400" w:lineRule="exact"/>
        <w:ind w:firstLine="420"/>
        <w:rPr>
          <w:rFonts w:ascii="宋体" w:hAnsi="宋体" w:cs="宋体"/>
          <w:color w:val="auto"/>
          <w:highlight w:val="none"/>
        </w:rPr>
      </w:pPr>
    </w:p>
    <w:p>
      <w:pPr>
        <w:spacing w:line="440" w:lineRule="exact"/>
        <w:ind w:firstLine="42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（中选人名称）：</w:t>
      </w:r>
    </w:p>
    <w:p>
      <w:pPr>
        <w:spacing w:line="440" w:lineRule="exact"/>
        <w:ind w:firstLine="420"/>
        <w:rPr>
          <w:rFonts w:ascii="宋体" w:hAnsi="宋体" w:cs="宋体"/>
          <w:color w:val="auto"/>
          <w:highlight w:val="none"/>
        </w:rPr>
      </w:pPr>
    </w:p>
    <w:p>
      <w:pPr>
        <w:spacing w:line="440" w:lineRule="exact"/>
        <w:ind w:firstLine="420"/>
        <w:rPr>
          <w:rFonts w:ascii="宋体" w:hAnsi="宋体" w:cs="宋体"/>
          <w:color w:val="auto"/>
          <w:highlight w:val="none"/>
        </w:rPr>
      </w:pPr>
      <w:r>
        <w:rPr>
          <w:rFonts w:hint="eastAsia" w:ascii="宋体" w:hAnsi="宋体" w:cs="宋体"/>
          <w:color w:val="auto"/>
          <w:highlight w:val="none"/>
        </w:rPr>
        <w:t>　　你方于</w:t>
      </w:r>
      <w:r>
        <w:rPr>
          <w:rFonts w:hint="eastAsia" w:ascii="宋体" w:hAnsi="宋体" w:cs="宋体"/>
          <w:color w:val="auto"/>
          <w:highlight w:val="none"/>
          <w:u w:val="single"/>
        </w:rPr>
        <w:t xml:space="preserve">                </w:t>
      </w:r>
      <w:r>
        <w:rPr>
          <w:rFonts w:hint="eastAsia" w:ascii="宋体" w:hAnsi="宋体" w:cs="宋体"/>
          <w:color w:val="auto"/>
          <w:highlight w:val="none"/>
        </w:rPr>
        <w:t>（比选申请日期）所递交的</w:t>
      </w:r>
      <w:r>
        <w:rPr>
          <w:rFonts w:hint="eastAsia" w:ascii="宋体" w:hAnsi="宋体" w:cs="宋体"/>
          <w:color w:val="auto"/>
          <w:highlight w:val="none"/>
          <w:u w:val="single"/>
        </w:rPr>
        <w:t xml:space="preserve">                 </w:t>
      </w:r>
      <w:r>
        <w:rPr>
          <w:rFonts w:hint="eastAsia" w:ascii="宋体" w:hAnsi="宋体" w:cs="宋体"/>
          <w:color w:val="auto"/>
          <w:highlight w:val="none"/>
        </w:rPr>
        <w:t>（项目名称）</w:t>
      </w: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w:t>
      </w:r>
      <w:r>
        <w:rPr>
          <w:rFonts w:hint="eastAsia" w:ascii="宋体" w:hAnsi="宋体" w:cs="宋体"/>
          <w:color w:val="auto"/>
          <w:highlight w:val="none"/>
        </w:rPr>
        <w:t>设备采购比选的比选申请文件已被我方接受，被确定为中选人。</w:t>
      </w:r>
    </w:p>
    <w:p>
      <w:pPr>
        <w:spacing w:line="440" w:lineRule="exact"/>
        <w:ind w:firstLine="420"/>
        <w:rPr>
          <w:rFonts w:ascii="宋体" w:hAnsi="宋体" w:cs="宋体"/>
          <w:color w:val="auto"/>
          <w:highlight w:val="none"/>
        </w:rPr>
      </w:pPr>
      <w:r>
        <w:rPr>
          <w:rFonts w:hint="eastAsia" w:ascii="宋体" w:hAnsi="宋体" w:cs="宋体"/>
          <w:color w:val="auto"/>
          <w:highlight w:val="none"/>
        </w:rPr>
        <w:t>　　中选价：</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440" w:lineRule="exact"/>
        <w:ind w:firstLine="420"/>
        <w:rPr>
          <w:rFonts w:ascii="宋体" w:hAnsi="宋体" w:cs="宋体"/>
          <w:color w:val="auto"/>
          <w:szCs w:val="21"/>
          <w:highlight w:val="none"/>
        </w:rPr>
      </w:pPr>
      <w:r>
        <w:rPr>
          <w:rFonts w:hint="eastAsia" w:ascii="宋体" w:hAnsi="宋体" w:cs="宋体"/>
          <w:color w:val="auto"/>
          <w:highlight w:val="none"/>
        </w:rPr>
        <w:t>请你方在接到本通知书后的</w:t>
      </w:r>
      <w:r>
        <w:rPr>
          <w:rFonts w:hint="eastAsia" w:ascii="宋体" w:hAnsi="宋体" w:cs="宋体"/>
          <w:color w:val="auto"/>
          <w:highlight w:val="none"/>
          <w:u w:val="single"/>
        </w:rPr>
        <w:t xml:space="preserve">        </w:t>
      </w:r>
      <w:r>
        <w:rPr>
          <w:rFonts w:hint="eastAsia" w:ascii="宋体" w:hAnsi="宋体" w:cs="宋体"/>
          <w:color w:val="auto"/>
          <w:highlight w:val="none"/>
        </w:rPr>
        <w:t>日内到</w:t>
      </w:r>
      <w:r>
        <w:rPr>
          <w:rFonts w:hint="eastAsia" w:ascii="宋体" w:hAnsi="宋体" w:cs="宋体"/>
          <w:color w:val="auto"/>
          <w:highlight w:val="none"/>
          <w:u w:val="single"/>
        </w:rPr>
        <w:t xml:space="preserve">                   </w:t>
      </w:r>
      <w:r>
        <w:rPr>
          <w:rFonts w:hint="eastAsia" w:ascii="宋体" w:hAnsi="宋体" w:cs="宋体"/>
          <w:color w:val="auto"/>
          <w:highlight w:val="none"/>
        </w:rPr>
        <w:t>（指定地点）与我方签订设备采购合同。</w:t>
      </w:r>
    </w:p>
    <w:p>
      <w:pPr>
        <w:spacing w:line="440" w:lineRule="exact"/>
        <w:ind w:firstLine="420"/>
        <w:rPr>
          <w:rFonts w:ascii="宋体" w:hAnsi="宋体" w:cs="宋体"/>
          <w:color w:val="auto"/>
          <w:highlight w:val="none"/>
        </w:rPr>
      </w:pPr>
      <w:r>
        <w:rPr>
          <w:rFonts w:hint="eastAsia" w:ascii="宋体" w:hAnsi="宋体" w:cs="宋体"/>
          <w:color w:val="auto"/>
          <w:highlight w:val="none"/>
        </w:rPr>
        <w:t>　　特此通知。</w:t>
      </w:r>
    </w:p>
    <w:p>
      <w:pPr>
        <w:spacing w:line="440" w:lineRule="exact"/>
        <w:ind w:firstLine="420"/>
        <w:rPr>
          <w:rFonts w:ascii="宋体" w:hAnsi="宋体" w:cs="宋体"/>
          <w:color w:val="auto"/>
          <w:highlight w:val="none"/>
        </w:rPr>
      </w:pPr>
    </w:p>
    <w:p>
      <w:pPr>
        <w:spacing w:line="440" w:lineRule="exact"/>
        <w:ind w:firstLine="420"/>
        <w:rPr>
          <w:rFonts w:ascii="宋体" w:hAnsi="宋体" w:cs="宋体"/>
          <w:color w:val="auto"/>
          <w:highlight w:val="none"/>
        </w:rPr>
      </w:pPr>
    </w:p>
    <w:p>
      <w:pPr>
        <w:spacing w:line="440" w:lineRule="exact"/>
        <w:ind w:firstLine="420"/>
        <w:rPr>
          <w:rFonts w:ascii="宋体" w:hAnsi="宋体" w:cs="宋体"/>
          <w:color w:val="auto"/>
          <w:highlight w:val="none"/>
        </w:rPr>
      </w:pPr>
    </w:p>
    <w:p>
      <w:pPr>
        <w:spacing w:line="440" w:lineRule="exact"/>
        <w:ind w:firstLine="420"/>
        <w:rPr>
          <w:rFonts w:ascii="宋体" w:hAnsi="宋体" w:cs="宋体"/>
          <w:color w:val="auto"/>
          <w:highlight w:val="none"/>
        </w:rPr>
      </w:pPr>
    </w:p>
    <w:p>
      <w:pPr>
        <w:spacing w:line="540" w:lineRule="exact"/>
        <w:ind w:firstLine="3238" w:firstLineChars="1542"/>
        <w:rPr>
          <w:rFonts w:ascii="宋体" w:hAnsi="宋体" w:cs="宋体"/>
          <w:color w:val="auto"/>
          <w:highlight w:val="none"/>
        </w:rPr>
      </w:pPr>
      <w:r>
        <w:rPr>
          <w:rFonts w:hint="eastAsia" w:ascii="宋体" w:hAnsi="宋体" w:cs="宋体"/>
          <w:color w:val="auto"/>
          <w:highlight w:val="none"/>
        </w:rPr>
        <w:t>比选人：</w:t>
      </w:r>
      <w:r>
        <w:rPr>
          <w:rFonts w:hint="eastAsia" w:ascii="宋体" w:hAnsi="宋体" w:cs="宋体"/>
          <w:color w:val="auto"/>
          <w:highlight w:val="none"/>
          <w:u w:val="single"/>
        </w:rPr>
        <w:t xml:space="preserve">                             </w:t>
      </w:r>
      <w:r>
        <w:rPr>
          <w:rFonts w:hint="eastAsia" w:ascii="宋体" w:hAnsi="宋体" w:cs="宋体"/>
          <w:color w:val="auto"/>
          <w:highlight w:val="none"/>
        </w:rPr>
        <w:t>（盖单位章）</w:t>
      </w:r>
      <w:bookmarkStart w:id="150" w:name="_Toc25205"/>
      <w:bookmarkStart w:id="151" w:name="_Toc152045582"/>
      <w:bookmarkStart w:id="152" w:name="_Toc361508641"/>
      <w:bookmarkStart w:id="153" w:name="_Toc352691528"/>
      <w:bookmarkStart w:id="154" w:name="_Toc144974549"/>
      <w:bookmarkStart w:id="155" w:name="_Toc152042359"/>
      <w:bookmarkStart w:id="156" w:name="_Toc247527607"/>
      <w:bookmarkStart w:id="157" w:name="_Toc369531572"/>
      <w:bookmarkStart w:id="158" w:name="_Toc300835003"/>
      <w:bookmarkStart w:id="159" w:name="_Toc247514006"/>
      <w:bookmarkStart w:id="160" w:name="_Toc384308267"/>
    </w:p>
    <w:bookmarkEnd w:id="150"/>
    <w:bookmarkEnd w:id="151"/>
    <w:bookmarkEnd w:id="152"/>
    <w:bookmarkEnd w:id="153"/>
    <w:bookmarkEnd w:id="154"/>
    <w:bookmarkEnd w:id="155"/>
    <w:bookmarkEnd w:id="156"/>
    <w:bookmarkEnd w:id="157"/>
    <w:bookmarkEnd w:id="158"/>
    <w:bookmarkEnd w:id="159"/>
    <w:bookmarkEnd w:id="160"/>
    <w:p>
      <w:pPr>
        <w:spacing w:line="540" w:lineRule="exact"/>
        <w:ind w:firstLine="3863" w:firstLineChars="1840"/>
        <w:jc w:val="center"/>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00" w:lineRule="exact"/>
        <w:ind w:firstLine="420"/>
        <w:rPr>
          <w:rFonts w:ascii="宋体" w:hAnsi="宋体" w:cs="宋体"/>
          <w:color w:val="auto"/>
          <w:highlight w:val="none"/>
        </w:rPr>
      </w:pPr>
    </w:p>
    <w:p>
      <w:pPr>
        <w:spacing w:line="400" w:lineRule="exact"/>
        <w:ind w:firstLine="420"/>
        <w:rPr>
          <w:rFonts w:ascii="宋体" w:hAnsi="宋体" w:cs="宋体"/>
          <w:color w:val="auto"/>
          <w:highlight w:val="none"/>
        </w:rPr>
      </w:pPr>
      <w:r>
        <w:rPr>
          <w:rFonts w:hint="eastAsia" w:ascii="宋体" w:hAnsi="宋体" w:cs="宋体"/>
          <w:color w:val="auto"/>
          <w:highlight w:val="none"/>
        </w:rPr>
        <w:br w:type="page"/>
      </w:r>
    </w:p>
    <w:p>
      <w:pPr>
        <w:pStyle w:val="4"/>
        <w:spacing w:before="0"/>
        <w:jc w:val="center"/>
        <w:rPr>
          <w:rFonts w:ascii="宋体" w:hAnsi="宋体" w:eastAsia="宋体" w:cs="宋体"/>
          <w:b/>
          <w:bCs/>
          <w:color w:val="auto"/>
          <w:sz w:val="36"/>
          <w:szCs w:val="36"/>
          <w:highlight w:val="none"/>
        </w:rPr>
      </w:pPr>
      <w:bookmarkStart w:id="161" w:name="_Toc28764"/>
      <w:bookmarkStart w:id="162" w:name="_Toc5230"/>
      <w:r>
        <w:rPr>
          <w:rFonts w:hint="eastAsia" w:ascii="宋体" w:hAnsi="宋体" w:eastAsia="宋体" w:cs="宋体"/>
          <w:b/>
          <w:bCs/>
          <w:color w:val="auto"/>
          <w:sz w:val="36"/>
          <w:szCs w:val="36"/>
          <w:highlight w:val="none"/>
        </w:rPr>
        <w:t>第三章 评审办法</w:t>
      </w:r>
      <w:bookmarkEnd w:id="161"/>
      <w:bookmarkEnd w:id="162"/>
    </w:p>
    <w:p>
      <w:pPr>
        <w:pStyle w:val="5"/>
        <w:spacing w:before="0" w:after="0" w:line="360" w:lineRule="auto"/>
        <w:ind w:left="0" w:firstLine="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评审办法前附表</w:t>
      </w:r>
    </w:p>
    <w:p>
      <w:pPr>
        <w:ind w:firstLine="480"/>
        <w:rPr>
          <w:rFonts w:ascii="宋体" w:hAnsi="宋体" w:cs="宋体"/>
          <w:color w:val="auto"/>
          <w:szCs w:val="24"/>
          <w:highlight w:val="none"/>
        </w:rPr>
      </w:pPr>
      <w:r>
        <w:rPr>
          <w:rFonts w:hint="eastAsia" w:ascii="宋体" w:hAnsi="宋体" w:cs="宋体"/>
          <w:color w:val="auto"/>
          <w:szCs w:val="24"/>
          <w:highlight w:val="none"/>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37"/>
        <w:tblW w:w="51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823"/>
        <w:gridCol w:w="2354"/>
        <w:gridCol w:w="5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707" w:type="dxa"/>
            <w:gridSpan w:val="2"/>
            <w:vAlign w:val="center"/>
          </w:tcPr>
          <w:p>
            <w:pPr>
              <w:widowControl w:val="0"/>
              <w:adjustRightInd w:val="0"/>
              <w:snapToGrid w:val="0"/>
              <w:spacing w:line="240" w:lineRule="auto"/>
              <w:jc w:val="center"/>
              <w:rPr>
                <w:rFonts w:ascii="宋体" w:hAnsi="宋体" w:cs="宋体"/>
                <w:b/>
                <w:bCs/>
                <w:color w:val="auto"/>
                <w:kern w:val="2"/>
                <w:szCs w:val="21"/>
                <w:highlight w:val="none"/>
              </w:rPr>
            </w:pPr>
            <w:r>
              <w:rPr>
                <w:rFonts w:hint="eastAsia" w:ascii="宋体" w:hAnsi="宋体" w:cs="宋体"/>
                <w:b/>
                <w:bCs/>
                <w:color w:val="auto"/>
                <w:kern w:val="2"/>
                <w:szCs w:val="21"/>
                <w:highlight w:val="none"/>
              </w:rPr>
              <w:t>条款号</w:t>
            </w:r>
          </w:p>
        </w:tc>
        <w:tc>
          <w:tcPr>
            <w:tcW w:w="7835" w:type="dxa"/>
            <w:gridSpan w:val="2"/>
            <w:vAlign w:val="center"/>
          </w:tcPr>
          <w:p>
            <w:pPr>
              <w:widowControl w:val="0"/>
              <w:adjustRightInd w:val="0"/>
              <w:snapToGrid w:val="0"/>
              <w:spacing w:line="240" w:lineRule="auto"/>
              <w:jc w:val="center"/>
              <w:rPr>
                <w:rFonts w:ascii="宋体" w:hAnsi="宋体" w:cs="宋体"/>
                <w:b/>
                <w:bCs/>
                <w:color w:val="auto"/>
                <w:kern w:val="2"/>
                <w:szCs w:val="21"/>
                <w:highlight w:val="none"/>
              </w:rPr>
            </w:pPr>
            <w:r>
              <w:rPr>
                <w:rFonts w:hint="eastAsia" w:ascii="宋体" w:hAnsi="宋体" w:cs="宋体"/>
                <w:b/>
                <w:bCs/>
                <w:color w:val="auto"/>
                <w:kern w:val="2"/>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904" w:type="dxa"/>
            <w:vAlign w:val="center"/>
          </w:tcPr>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1</w:t>
            </w:r>
          </w:p>
        </w:tc>
        <w:tc>
          <w:tcPr>
            <w:tcW w:w="803" w:type="dxa"/>
            <w:vAlign w:val="center"/>
          </w:tcPr>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评审方法</w:t>
            </w:r>
          </w:p>
        </w:tc>
        <w:tc>
          <w:tcPr>
            <w:tcW w:w="2298" w:type="dxa"/>
            <w:vAlign w:val="center"/>
          </w:tcPr>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中选候选人排序方法</w:t>
            </w:r>
          </w:p>
        </w:tc>
        <w:tc>
          <w:tcPr>
            <w:tcW w:w="5537" w:type="dxa"/>
            <w:vAlign w:val="center"/>
          </w:tcPr>
          <w:p>
            <w:pPr>
              <w:widowControl w:val="0"/>
              <w:adjustRightInd w:val="0"/>
              <w:snapToGrid w:val="0"/>
              <w:spacing w:line="240" w:lineRule="auto"/>
              <w:rPr>
                <w:rFonts w:ascii="宋体" w:hAnsi="宋体" w:cs="宋体"/>
                <w:color w:val="auto"/>
                <w:kern w:val="2"/>
                <w:szCs w:val="21"/>
                <w:highlight w:val="none"/>
              </w:rPr>
            </w:pPr>
            <w:r>
              <w:rPr>
                <w:rFonts w:hint="eastAsia" w:ascii="宋体" w:hAnsi="宋体" w:cs="宋体"/>
                <w:color w:val="auto"/>
                <w:kern w:val="2"/>
                <w:szCs w:val="21"/>
                <w:highlight w:val="none"/>
              </w:rPr>
              <w:t>本次评审采用综合评估法，单信封形式。评审委员会对满足比选文件实质性要求的比选申请文件，根据本章前附表第2.2款规定的评分标准进行打分，并按得分由高到低顺序推荐中选候选人。综合评分相等时，以比选申请报价低的优选；比选申请报价也相等时，以技术得分高的优先；如果技术得分也相等，以有利于比选人的原则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4" w:type="dxa"/>
            <w:vMerge w:val="restart"/>
            <w:vAlign w:val="center"/>
          </w:tcPr>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2.1</w:t>
            </w:r>
          </w:p>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b/>
                <w:color w:val="auto"/>
                <w:kern w:val="2"/>
                <w:szCs w:val="21"/>
                <w:highlight w:val="none"/>
              </w:rPr>
              <w:t>初步</w:t>
            </w:r>
            <w:r>
              <w:rPr>
                <w:rFonts w:hint="eastAsia" w:ascii="宋体" w:hAnsi="宋体" w:cs="宋体"/>
                <w:color w:val="auto"/>
                <w:kern w:val="2"/>
                <w:szCs w:val="21"/>
                <w:highlight w:val="none"/>
              </w:rPr>
              <w:t>评审标准</w:t>
            </w:r>
          </w:p>
        </w:tc>
        <w:tc>
          <w:tcPr>
            <w:tcW w:w="803" w:type="dxa"/>
            <w:vMerge w:val="restart"/>
            <w:vAlign w:val="center"/>
          </w:tcPr>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2.1.1</w:t>
            </w:r>
          </w:p>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形式评审标准</w:t>
            </w:r>
          </w:p>
        </w:tc>
        <w:tc>
          <w:tcPr>
            <w:tcW w:w="2298" w:type="dxa"/>
            <w:vAlign w:val="center"/>
          </w:tcPr>
          <w:p>
            <w:pPr>
              <w:widowControl w:val="0"/>
              <w:adjustRightInd w:val="0"/>
              <w:snapToGrid w:val="0"/>
              <w:spacing w:line="240" w:lineRule="auto"/>
              <w:rPr>
                <w:rFonts w:ascii="宋体" w:hAnsi="宋体" w:cs="宋体"/>
                <w:bCs/>
                <w:color w:val="auto"/>
                <w:kern w:val="2"/>
                <w:szCs w:val="21"/>
                <w:highlight w:val="none"/>
              </w:rPr>
            </w:pPr>
            <w:r>
              <w:rPr>
                <w:rFonts w:hint="eastAsia" w:ascii="宋体" w:hAnsi="宋体" w:cs="宋体"/>
                <w:bCs/>
                <w:color w:val="auto"/>
                <w:kern w:val="2"/>
                <w:szCs w:val="21"/>
                <w:highlight w:val="none"/>
              </w:rPr>
              <w:t>1．比选申请人名称</w:t>
            </w:r>
          </w:p>
        </w:tc>
        <w:tc>
          <w:tcPr>
            <w:tcW w:w="5537" w:type="dxa"/>
            <w:vAlign w:val="center"/>
          </w:tcPr>
          <w:p>
            <w:pPr>
              <w:widowControl w:val="0"/>
              <w:adjustRightInd w:val="0"/>
              <w:snapToGrid w:val="0"/>
              <w:spacing w:line="240" w:lineRule="auto"/>
              <w:rPr>
                <w:rFonts w:ascii="宋体" w:hAnsi="宋体" w:cs="宋体"/>
                <w:bCs/>
                <w:color w:val="auto"/>
                <w:kern w:val="2"/>
                <w:szCs w:val="21"/>
                <w:highlight w:val="none"/>
              </w:rPr>
            </w:pPr>
            <w:r>
              <w:rPr>
                <w:rFonts w:hint="eastAsia" w:ascii="宋体" w:hAnsi="宋体" w:cs="宋体"/>
                <w:color w:val="auto"/>
                <w:kern w:val="2"/>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tcBorders>
              <w:bottom w:val="single" w:color="auto" w:sz="4" w:space="0"/>
            </w:tcBorders>
            <w:vAlign w:val="center"/>
          </w:tcPr>
          <w:p>
            <w:pPr>
              <w:widowControl w:val="0"/>
              <w:adjustRightInd w:val="0"/>
              <w:snapToGrid w:val="0"/>
              <w:spacing w:line="240" w:lineRule="auto"/>
              <w:rPr>
                <w:rFonts w:ascii="宋体" w:hAnsi="宋体" w:cs="宋体"/>
                <w:bCs/>
                <w:color w:val="auto"/>
                <w:kern w:val="2"/>
                <w:szCs w:val="21"/>
                <w:highlight w:val="none"/>
              </w:rPr>
            </w:pPr>
            <w:r>
              <w:rPr>
                <w:rFonts w:hint="eastAsia" w:ascii="宋体" w:hAnsi="宋体" w:cs="宋体"/>
                <w:bCs/>
                <w:color w:val="auto"/>
                <w:kern w:val="2"/>
                <w:szCs w:val="21"/>
                <w:highlight w:val="none"/>
              </w:rPr>
              <w:t>2．比选申请文件上法定代表人或其委托代理人的签字、比选申请人的单位章盖章齐全，符合比选文件规定。</w:t>
            </w:r>
          </w:p>
        </w:tc>
        <w:tc>
          <w:tcPr>
            <w:tcW w:w="5537" w:type="dxa"/>
            <w:tcBorders>
              <w:bottom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 xml:space="preserve">（1）比选申请函、法定代表人身份证明（如有）、授权委托书（如有）及比选申请文件格式规定要求签署的地方，比选申请人的法定代表人或其委托代理人均签署姓名，未使用印章、签名章或电子制版签名； </w:t>
            </w:r>
          </w:p>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（2）比选申请函、法定代表人身份证明（如有）、授权委托书（如有）及比选申请文件格式规定要求加盖比选申请人单位章的地方均加盖比选申请人单位章；</w:t>
            </w:r>
          </w:p>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（3）比选申请文件中有改动之处均加盖单位章或由比选申请人的法定代表人或其委托代理人签字确认；</w:t>
            </w:r>
          </w:p>
          <w:p>
            <w:pPr>
              <w:widowControl w:val="0"/>
              <w:adjustRightInd w:val="0"/>
              <w:snapToGrid w:val="0"/>
              <w:spacing w:line="240" w:lineRule="auto"/>
              <w:rPr>
                <w:rFonts w:ascii="宋体" w:hAnsi="宋体" w:cs="宋体"/>
                <w:bCs/>
                <w:color w:val="auto"/>
                <w:kern w:val="2"/>
                <w:szCs w:val="21"/>
                <w:highlight w:val="none"/>
              </w:rPr>
            </w:pPr>
            <w:r>
              <w:rPr>
                <w:rFonts w:hint="eastAsia" w:ascii="宋体" w:hAnsi="宋体" w:cs="宋体"/>
                <w:color w:val="auto"/>
                <w:kern w:val="2"/>
                <w:szCs w:val="21"/>
                <w:highlight w:val="none"/>
              </w:rPr>
              <w:t>（4）单位章内容与单位营业执照名称一致，且未使用专用印章。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tcBorders>
              <w:bottom w:val="single" w:color="auto" w:sz="4" w:space="0"/>
            </w:tcBorders>
            <w:vAlign w:val="center"/>
          </w:tcPr>
          <w:p>
            <w:pPr>
              <w:widowControl w:val="0"/>
              <w:adjustRightInd w:val="0"/>
              <w:snapToGrid w:val="0"/>
              <w:spacing w:line="240" w:lineRule="auto"/>
              <w:rPr>
                <w:rFonts w:ascii="宋体" w:hAnsi="宋体" w:cs="宋体"/>
                <w:bCs/>
                <w:color w:val="auto"/>
                <w:kern w:val="2"/>
                <w:szCs w:val="21"/>
                <w:highlight w:val="none"/>
              </w:rPr>
            </w:pPr>
            <w:r>
              <w:rPr>
                <w:rFonts w:hint="eastAsia" w:ascii="宋体" w:hAnsi="宋体" w:cs="宋体"/>
                <w:bCs/>
                <w:color w:val="auto"/>
                <w:kern w:val="2"/>
                <w:szCs w:val="21"/>
                <w:highlight w:val="none"/>
              </w:rPr>
              <w:t>3.比选申请文件格式</w:t>
            </w:r>
          </w:p>
        </w:tc>
        <w:tc>
          <w:tcPr>
            <w:tcW w:w="5537" w:type="dxa"/>
            <w:tcBorders>
              <w:bottom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符合第六章“比选申请文件格式”的规定。按照第六章“比选申请文件格式”附齐相关资料、证明材料。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tcBorders>
              <w:bottom w:val="single" w:color="auto" w:sz="4" w:space="0"/>
            </w:tcBorders>
            <w:vAlign w:val="center"/>
          </w:tcPr>
          <w:p>
            <w:pPr>
              <w:widowControl w:val="0"/>
              <w:adjustRightInd w:val="0"/>
              <w:snapToGrid w:val="0"/>
              <w:spacing w:line="240" w:lineRule="auto"/>
              <w:rPr>
                <w:rFonts w:ascii="宋体" w:hAnsi="宋体" w:cs="宋体"/>
                <w:bCs/>
                <w:color w:val="auto"/>
                <w:kern w:val="2"/>
                <w:szCs w:val="21"/>
                <w:highlight w:val="none"/>
              </w:rPr>
            </w:pPr>
            <w:r>
              <w:rPr>
                <w:rFonts w:hint="eastAsia" w:ascii="宋体" w:hAnsi="宋体" w:cs="宋体"/>
                <w:bCs/>
                <w:color w:val="auto"/>
                <w:kern w:val="2"/>
                <w:szCs w:val="21"/>
                <w:highlight w:val="none"/>
              </w:rPr>
              <w:t>4．比选申请人法定代表人的委托代理人签署比选申请文件的，需提交授权委托书，并符合比选文件要求。</w:t>
            </w:r>
          </w:p>
        </w:tc>
        <w:tc>
          <w:tcPr>
            <w:tcW w:w="5537" w:type="dxa"/>
            <w:tcBorders>
              <w:bottom w:val="single" w:color="auto" w:sz="4" w:space="0"/>
            </w:tcBorders>
            <w:vAlign w:val="center"/>
          </w:tcPr>
          <w:p>
            <w:pPr>
              <w:widowControl w:val="0"/>
              <w:adjustRightInd w:val="0"/>
              <w:snapToGrid w:val="0"/>
              <w:spacing w:line="240" w:lineRule="auto"/>
              <w:rPr>
                <w:rFonts w:ascii="宋体" w:hAnsi="宋体" w:cs="宋体"/>
                <w:color w:val="auto"/>
                <w:kern w:val="2"/>
                <w:szCs w:val="21"/>
                <w:highlight w:val="none"/>
              </w:rPr>
            </w:pPr>
            <w:r>
              <w:rPr>
                <w:rFonts w:hint="eastAsia" w:ascii="宋体" w:hAnsi="宋体" w:cs="宋体"/>
                <w:color w:val="auto"/>
                <w:kern w:val="2"/>
                <w:szCs w:val="21"/>
                <w:highlight w:val="none"/>
              </w:rPr>
              <w:t>（1）提交了授权委托书。</w:t>
            </w:r>
          </w:p>
          <w:p>
            <w:pPr>
              <w:widowControl w:val="0"/>
              <w:adjustRightInd w:val="0"/>
              <w:snapToGrid w:val="0"/>
              <w:spacing w:line="240" w:lineRule="auto"/>
              <w:rPr>
                <w:rFonts w:ascii="宋体" w:hAnsi="宋体" w:cs="宋体"/>
                <w:color w:val="auto"/>
                <w:kern w:val="2"/>
                <w:szCs w:val="21"/>
                <w:highlight w:val="none"/>
              </w:rPr>
            </w:pPr>
            <w:r>
              <w:rPr>
                <w:rFonts w:hint="eastAsia" w:ascii="宋体" w:hAnsi="宋体" w:cs="宋体"/>
                <w:color w:val="auto"/>
                <w:kern w:val="2"/>
                <w:szCs w:val="21"/>
                <w:highlight w:val="none"/>
              </w:rPr>
              <w:t>（2）</w:t>
            </w:r>
            <w:r>
              <w:rPr>
                <w:rFonts w:hint="eastAsia" w:ascii="宋体" w:hAnsi="宋体" w:cs="宋体"/>
                <w:b/>
                <w:color w:val="auto"/>
                <w:kern w:val="2"/>
                <w:szCs w:val="21"/>
                <w:highlight w:val="none"/>
              </w:rPr>
              <w:t>法定代表人</w:t>
            </w:r>
            <w:r>
              <w:rPr>
                <w:rFonts w:hint="eastAsia" w:ascii="宋体" w:hAnsi="宋体" w:cs="宋体"/>
                <w:color w:val="auto"/>
                <w:kern w:val="2"/>
                <w:szCs w:val="21"/>
                <w:highlight w:val="none"/>
              </w:rPr>
              <w:t>和</w:t>
            </w:r>
            <w:r>
              <w:rPr>
                <w:rFonts w:hint="eastAsia" w:ascii="宋体" w:hAnsi="宋体" w:cs="宋体"/>
                <w:b/>
                <w:color w:val="auto"/>
                <w:kern w:val="2"/>
                <w:szCs w:val="21"/>
                <w:highlight w:val="none"/>
              </w:rPr>
              <w:t>委托代理人</w:t>
            </w:r>
            <w:r>
              <w:rPr>
                <w:rFonts w:hint="eastAsia" w:ascii="宋体" w:hAnsi="宋体" w:cs="宋体"/>
                <w:color w:val="auto"/>
                <w:kern w:val="2"/>
                <w:szCs w:val="21"/>
                <w:highlight w:val="none"/>
              </w:rPr>
              <w:t>均在授权委托书上签名，未使用印章、签名章或其他电子制版签名。</w:t>
            </w:r>
          </w:p>
          <w:p>
            <w:pPr>
              <w:widowControl w:val="0"/>
              <w:adjustRightInd w:val="0"/>
              <w:snapToGrid w:val="0"/>
              <w:spacing w:line="240" w:lineRule="auto"/>
              <w:rPr>
                <w:rFonts w:ascii="宋体" w:hAnsi="宋体" w:cs="宋体"/>
                <w:bCs/>
                <w:color w:val="auto"/>
                <w:kern w:val="2"/>
                <w:szCs w:val="21"/>
                <w:highlight w:val="none"/>
              </w:rPr>
            </w:pPr>
            <w:r>
              <w:rPr>
                <w:rFonts w:hint="eastAsia" w:ascii="宋体" w:hAnsi="宋体" w:cs="宋体"/>
                <w:color w:val="auto"/>
                <w:kern w:val="2"/>
                <w:szCs w:val="21"/>
                <w:highlight w:val="none"/>
              </w:rPr>
              <w:t>（3）授权委托书中委托代理人只能是一个人，且不能再授予他人。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vAlign w:val="center"/>
          </w:tcPr>
          <w:p>
            <w:pPr>
              <w:widowControl w:val="0"/>
              <w:adjustRightInd w:val="0"/>
              <w:snapToGrid w:val="0"/>
              <w:spacing w:line="240" w:lineRule="auto"/>
              <w:rPr>
                <w:rFonts w:ascii="宋体" w:hAnsi="宋体" w:cs="宋体"/>
                <w:bCs/>
                <w:color w:val="auto"/>
                <w:kern w:val="2"/>
                <w:szCs w:val="21"/>
                <w:highlight w:val="none"/>
              </w:rPr>
            </w:pPr>
            <w:r>
              <w:rPr>
                <w:rFonts w:hint="eastAsia" w:ascii="宋体" w:hAnsi="宋体" w:cs="宋体"/>
                <w:bCs/>
                <w:color w:val="auto"/>
                <w:kern w:val="2"/>
                <w:szCs w:val="21"/>
                <w:highlight w:val="none"/>
              </w:rPr>
              <w:t>5．比选申请人法定代表人若亲自签署比选申请文件的，提供了法定代表人身份证明，并符合比选文件要求</w:t>
            </w:r>
            <w:r>
              <w:rPr>
                <w:rFonts w:hint="eastAsia" w:ascii="宋体" w:hAnsi="宋体" w:cs="宋体"/>
                <w:color w:val="auto"/>
                <w:kern w:val="2"/>
                <w:szCs w:val="21"/>
                <w:highlight w:val="none"/>
              </w:rPr>
              <w:t>。</w:t>
            </w:r>
          </w:p>
        </w:tc>
        <w:tc>
          <w:tcPr>
            <w:tcW w:w="5537" w:type="dxa"/>
            <w:vAlign w:val="center"/>
          </w:tcPr>
          <w:p>
            <w:pPr>
              <w:widowControl w:val="0"/>
              <w:adjustRightInd w:val="0"/>
              <w:snapToGrid w:val="0"/>
              <w:spacing w:line="240" w:lineRule="auto"/>
              <w:rPr>
                <w:rFonts w:ascii="宋体" w:hAnsi="宋体" w:cs="宋体"/>
                <w:bCs/>
                <w:color w:val="auto"/>
                <w:kern w:val="2"/>
                <w:szCs w:val="21"/>
                <w:highlight w:val="none"/>
              </w:rPr>
            </w:pPr>
            <w:r>
              <w:rPr>
                <w:rFonts w:hint="eastAsia" w:ascii="宋体" w:hAnsi="宋体" w:cs="宋体"/>
                <w:bCs/>
                <w:color w:val="auto"/>
                <w:kern w:val="2"/>
                <w:szCs w:val="21"/>
                <w:highlight w:val="none"/>
              </w:rPr>
              <w:t xml:space="preserve">（1）提供法定代表人身份证明； </w:t>
            </w:r>
          </w:p>
          <w:p>
            <w:pPr>
              <w:widowControl w:val="0"/>
              <w:adjustRightInd w:val="0"/>
              <w:snapToGrid w:val="0"/>
              <w:spacing w:line="240" w:lineRule="auto"/>
              <w:rPr>
                <w:rFonts w:ascii="宋体" w:hAnsi="宋体" w:cs="宋体"/>
                <w:bCs/>
                <w:color w:val="auto"/>
                <w:kern w:val="2"/>
                <w:szCs w:val="21"/>
                <w:highlight w:val="none"/>
              </w:rPr>
            </w:pPr>
            <w:r>
              <w:rPr>
                <w:rFonts w:hint="eastAsia" w:ascii="宋体" w:hAnsi="宋体" w:cs="宋体"/>
                <w:bCs/>
                <w:color w:val="auto"/>
                <w:kern w:val="2"/>
                <w:szCs w:val="21"/>
                <w:highlight w:val="none"/>
              </w:rPr>
              <w:t xml:space="preserve">（2）法定代表人在法定代表人身份证明上签名，未使用印章、签名章或其他电子制版签名； </w:t>
            </w:r>
          </w:p>
          <w:p>
            <w:pPr>
              <w:widowControl w:val="0"/>
              <w:adjustRightInd w:val="0"/>
              <w:snapToGrid w:val="0"/>
              <w:spacing w:line="240" w:lineRule="auto"/>
              <w:rPr>
                <w:rFonts w:ascii="宋体" w:hAnsi="宋体" w:cs="宋体"/>
                <w:bCs/>
                <w:color w:val="auto"/>
                <w:kern w:val="2"/>
                <w:szCs w:val="21"/>
                <w:highlight w:val="none"/>
              </w:rPr>
            </w:pPr>
            <w:r>
              <w:rPr>
                <w:rFonts w:hint="eastAsia" w:ascii="宋体" w:hAnsi="宋体" w:cs="宋体"/>
                <w:bCs/>
                <w:color w:val="auto"/>
                <w:kern w:val="2"/>
                <w:szCs w:val="21"/>
                <w:highlight w:val="none"/>
              </w:rPr>
              <w:t xml:space="preserve">（3）法定代表人身份证明后应附法定代表人身份证复印件，且身份证复印件应清晰有效。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vAlign w:val="center"/>
          </w:tcPr>
          <w:p>
            <w:pPr>
              <w:widowControl w:val="0"/>
              <w:adjustRightInd w:val="0"/>
              <w:snapToGrid w:val="0"/>
              <w:spacing w:line="240" w:lineRule="auto"/>
              <w:rPr>
                <w:rFonts w:ascii="宋体" w:hAnsi="宋体" w:cs="宋体"/>
                <w:bCs/>
                <w:color w:val="auto"/>
                <w:kern w:val="2"/>
                <w:szCs w:val="21"/>
                <w:highlight w:val="none"/>
              </w:rPr>
            </w:pPr>
            <w:r>
              <w:rPr>
                <w:rFonts w:hint="eastAsia" w:ascii="宋体" w:hAnsi="宋体" w:cs="宋体"/>
                <w:color w:val="auto"/>
                <w:kern w:val="2"/>
                <w:szCs w:val="21"/>
                <w:highlight w:val="none"/>
              </w:rPr>
              <w:t>6．比选申请报价</w:t>
            </w:r>
          </w:p>
        </w:tc>
        <w:tc>
          <w:tcPr>
            <w:tcW w:w="5537" w:type="dxa"/>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（1）比选申请报价函按比选文件规定填报了比选申请报价；</w:t>
            </w:r>
          </w:p>
          <w:p>
            <w:pPr>
              <w:widowControl w:val="0"/>
              <w:adjustRightInd w:val="0"/>
              <w:snapToGrid w:val="0"/>
              <w:spacing w:line="240" w:lineRule="auto"/>
              <w:jc w:val="both"/>
              <w:rPr>
                <w:rFonts w:ascii="宋体" w:hAnsi="宋体" w:cs="宋体"/>
                <w:bCs/>
                <w:color w:val="auto"/>
                <w:kern w:val="2"/>
                <w:szCs w:val="21"/>
                <w:highlight w:val="none"/>
              </w:rPr>
            </w:pPr>
            <w:r>
              <w:rPr>
                <w:rFonts w:hint="eastAsia" w:ascii="宋体" w:hAnsi="宋体" w:cs="宋体"/>
                <w:color w:val="auto"/>
                <w:kern w:val="2"/>
                <w:szCs w:val="21"/>
                <w:highlight w:val="none"/>
              </w:rPr>
              <w:t>（2）</w:t>
            </w:r>
            <w:r>
              <w:rPr>
                <w:rFonts w:hint="eastAsia" w:ascii="宋体" w:hAnsi="宋体" w:cs="宋体"/>
                <w:bCs/>
                <w:color w:val="auto"/>
                <w:kern w:val="2"/>
                <w:szCs w:val="21"/>
                <w:highlight w:val="none"/>
              </w:rPr>
              <w:t>已标价分项报价表说明、子目及数量与比选文件规定一致，未进行</w:t>
            </w:r>
            <w:r>
              <w:rPr>
                <w:rFonts w:hint="eastAsia" w:ascii="宋体" w:hAnsi="宋体" w:cs="宋体"/>
                <w:color w:val="auto"/>
                <w:kern w:val="2"/>
                <w:szCs w:val="21"/>
                <w:highlight w:val="none"/>
              </w:rPr>
              <w:t>实质性的</w:t>
            </w:r>
            <w:r>
              <w:rPr>
                <w:rFonts w:hint="eastAsia" w:ascii="宋体" w:hAnsi="宋体" w:cs="宋体"/>
                <w:bCs/>
                <w:color w:val="auto"/>
                <w:kern w:val="2"/>
                <w:szCs w:val="21"/>
                <w:highlight w:val="none"/>
              </w:rPr>
              <w:t>修改和删减；</w:t>
            </w:r>
          </w:p>
          <w:p>
            <w:pPr>
              <w:widowControl w:val="0"/>
              <w:adjustRightInd w:val="0"/>
              <w:snapToGrid w:val="0"/>
              <w:spacing w:line="240" w:lineRule="auto"/>
              <w:rPr>
                <w:rFonts w:ascii="宋体" w:hAnsi="宋体" w:cs="宋体"/>
                <w:bCs/>
                <w:color w:val="auto"/>
                <w:kern w:val="2"/>
                <w:szCs w:val="21"/>
                <w:highlight w:val="none"/>
              </w:rPr>
            </w:pPr>
            <w:r>
              <w:rPr>
                <w:rFonts w:hint="eastAsia" w:ascii="宋体" w:hAnsi="宋体" w:cs="宋体"/>
                <w:color w:val="auto"/>
                <w:kern w:val="2"/>
                <w:szCs w:val="21"/>
                <w:highlight w:val="none"/>
              </w:rPr>
              <w:t>（3）一份比选申请文件应只有一个比选申请报价，不得提交选择性报价；也不得有调价函。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7835" w:type="dxa"/>
            <w:gridSpan w:val="2"/>
            <w:vAlign w:val="center"/>
          </w:tcPr>
          <w:p>
            <w:pPr>
              <w:widowControl w:val="0"/>
              <w:adjustRightInd w:val="0"/>
              <w:snapToGrid w:val="0"/>
              <w:spacing w:line="240" w:lineRule="auto"/>
              <w:rPr>
                <w:rFonts w:ascii="宋体" w:hAnsi="宋体" w:cs="宋体"/>
                <w:color w:val="auto"/>
                <w:kern w:val="2"/>
                <w:szCs w:val="21"/>
                <w:highlight w:val="none"/>
              </w:rPr>
            </w:pPr>
            <w:r>
              <w:rPr>
                <w:rFonts w:hint="eastAsia" w:ascii="宋体" w:hAnsi="宋体" w:cs="宋体"/>
                <w:bCs/>
                <w:color w:val="auto"/>
                <w:kern w:val="2"/>
                <w:szCs w:val="21"/>
                <w:highlight w:val="none"/>
              </w:rPr>
              <w:t>7．</w:t>
            </w:r>
            <w:r>
              <w:rPr>
                <w:rFonts w:hint="eastAsia" w:ascii="宋体" w:hAnsi="宋体" w:cs="宋体"/>
                <w:color w:val="auto"/>
                <w:kern w:val="2"/>
                <w:szCs w:val="21"/>
                <w:highlight w:val="none"/>
              </w:rPr>
              <w:t>外层封套上标注的所投项目、标段名称与内装比选申请文件一致。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restart"/>
            <w:tcBorders>
              <w:top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2.1.2</w:t>
            </w:r>
          </w:p>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资格评审标准</w:t>
            </w:r>
          </w:p>
        </w:tc>
        <w:tc>
          <w:tcPr>
            <w:tcW w:w="2298"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jc w:val="both"/>
              <w:rPr>
                <w:rFonts w:ascii="宋体" w:hAnsi="宋体" w:cs="宋体"/>
                <w:bCs/>
                <w:color w:val="auto"/>
                <w:kern w:val="2"/>
                <w:szCs w:val="21"/>
                <w:highlight w:val="none"/>
              </w:rPr>
            </w:pPr>
            <w:r>
              <w:rPr>
                <w:rFonts w:hint="eastAsia" w:ascii="宋体" w:hAnsi="宋体" w:cs="宋体"/>
                <w:color w:val="auto"/>
                <w:kern w:val="2"/>
                <w:szCs w:val="21"/>
                <w:highlight w:val="none"/>
              </w:rPr>
              <w:t>1.比选申请人具备有效的营业执照、</w:t>
            </w:r>
            <w:r>
              <w:rPr>
                <w:rFonts w:hint="eastAsia" w:ascii="宋体" w:hAnsi="宋体" w:cs="宋体"/>
                <w:bCs/>
                <w:color w:val="auto"/>
                <w:kern w:val="2"/>
                <w:szCs w:val="21"/>
                <w:highlight w:val="none"/>
              </w:rPr>
              <w:t>基本账户开户许可证或基本存款账户信息表（基本账户开户行出具）</w:t>
            </w:r>
            <w:r>
              <w:rPr>
                <w:rFonts w:hint="eastAsia" w:ascii="宋体" w:hAnsi="宋体" w:cs="宋体"/>
                <w:color w:val="auto"/>
                <w:kern w:val="2"/>
                <w:szCs w:val="21"/>
                <w:highlight w:val="none"/>
              </w:rPr>
              <w:t>。</w:t>
            </w:r>
          </w:p>
        </w:tc>
        <w:tc>
          <w:tcPr>
            <w:tcW w:w="5537"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比选申请人提供了下述有效的证明材料复印件并盖比选申请人单位章：</w:t>
            </w:r>
          </w:p>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（1）营业执照；</w:t>
            </w:r>
          </w:p>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（2）基本账户开户许可证或基本存款账户信息表（基本账户开户行出具）；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ascii="宋体" w:hAnsi="宋体" w:cs="宋体"/>
                <w:color w:val="auto"/>
                <w:kern w:val="2"/>
                <w:szCs w:val="21"/>
                <w:highlight w:val="none"/>
              </w:rPr>
            </w:pPr>
            <w:r>
              <w:rPr>
                <w:rFonts w:hint="eastAsia" w:ascii="宋体" w:hAnsi="宋体" w:cs="宋体"/>
                <w:color w:val="auto"/>
                <w:kern w:val="2"/>
                <w:szCs w:val="21"/>
                <w:highlight w:val="none"/>
              </w:rPr>
              <w:t>2.比选申请人的资质等级符合第二章“比选申请人须知前附表”第1.4.1项规定。</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比选申请人的资质等级符合第二章“比选申请人须知前附表”第1.4.1项规定；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3.比选申请人的财务状况符合第二章“比选申请人须知前附表”第1.4.1项规定。</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（1）比选申请人的财务状况符合第二章“比选申请人须知前附表”第1.4.1项规定；</w:t>
            </w:r>
          </w:p>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（2）提供了有效证明材料复印件并盖比选申请人单位章：比选申请人2021年或2022年的会计师事务所出具的审计报告复印件，包括资产负债表、现金流量表、利润表（损益表）和财务情况说明书（或附注）</w:t>
            </w:r>
            <w:r>
              <w:rPr>
                <w:rFonts w:hint="eastAsia" w:ascii="宋体" w:hAnsi="宋体" w:cs="宋体"/>
                <w:b/>
                <w:color w:val="auto"/>
                <w:kern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bCs/>
                <w:color w:val="auto"/>
                <w:kern w:val="2"/>
                <w:szCs w:val="21"/>
                <w:highlight w:val="none"/>
              </w:rPr>
              <w:t>4.比选申请人的类似项目业绩符合第二章“比选申请人须知前附表”第1.4.1项规定。</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ascii="宋体" w:hAnsi="宋体" w:cs="宋体"/>
                <w:bCs/>
                <w:color w:val="auto"/>
                <w:kern w:val="2"/>
                <w:szCs w:val="21"/>
                <w:highlight w:val="none"/>
              </w:rPr>
            </w:pPr>
            <w:r>
              <w:rPr>
                <w:rFonts w:hint="eastAsia" w:ascii="宋体" w:hAnsi="宋体" w:cs="宋体"/>
                <w:bCs/>
                <w:color w:val="auto"/>
                <w:kern w:val="2"/>
                <w:szCs w:val="21"/>
                <w:highlight w:val="none"/>
              </w:rPr>
              <w:t>（1）比选申请人的类似项目业绩符合比选申请人须知附录3资格审查条件；</w:t>
            </w:r>
          </w:p>
          <w:p>
            <w:pPr>
              <w:widowControl w:val="0"/>
              <w:adjustRightInd w:val="0"/>
              <w:snapToGrid w:val="0"/>
              <w:spacing w:line="240" w:lineRule="auto"/>
              <w:rPr>
                <w:rFonts w:ascii="宋体" w:hAnsi="宋体" w:cs="宋体"/>
                <w:color w:val="auto"/>
                <w:kern w:val="2"/>
                <w:szCs w:val="21"/>
                <w:highlight w:val="none"/>
              </w:rPr>
            </w:pPr>
            <w:r>
              <w:rPr>
                <w:rFonts w:hint="eastAsia" w:ascii="宋体" w:hAnsi="宋体" w:cs="宋体"/>
                <w:bCs/>
                <w:color w:val="auto"/>
                <w:kern w:val="2"/>
                <w:szCs w:val="21"/>
                <w:highlight w:val="none"/>
              </w:rPr>
              <w:t>（2）业绩证明均需提供合同协议书（包括签订合同的首页、项目名称、简介所在页、数量页、签字盖章页等关键页）的复印件并加盖比选申请人单位公章；业绩时间以合同签订时间为准。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bCs/>
                <w:color w:val="auto"/>
                <w:kern w:val="2"/>
                <w:szCs w:val="21"/>
                <w:highlight w:val="none"/>
              </w:rPr>
              <w:t>5.比选申请人的信誉符合第二章“比选申请人须知前附表”第1.4.1项规定。</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bCs/>
                <w:color w:val="auto"/>
                <w:kern w:val="2"/>
                <w:szCs w:val="21"/>
                <w:highlight w:val="none"/>
              </w:rPr>
            </w:pPr>
            <w:r>
              <w:rPr>
                <w:rFonts w:hint="eastAsia" w:ascii="宋体" w:hAnsi="宋体" w:cs="宋体"/>
                <w:color w:val="auto"/>
                <w:kern w:val="2"/>
                <w:szCs w:val="21"/>
                <w:highlight w:val="none"/>
              </w:rPr>
              <w:t>（1）</w:t>
            </w:r>
            <w:r>
              <w:rPr>
                <w:rFonts w:hint="eastAsia" w:ascii="宋体" w:hAnsi="宋体" w:cs="宋体"/>
                <w:bCs/>
                <w:color w:val="auto"/>
                <w:kern w:val="2"/>
                <w:szCs w:val="21"/>
                <w:highlight w:val="none"/>
              </w:rPr>
              <w:t>比选申请人的信誉符合</w:t>
            </w:r>
            <w:r>
              <w:rPr>
                <w:rFonts w:hint="eastAsia" w:ascii="宋体" w:hAnsi="宋体" w:cs="宋体"/>
                <w:color w:val="auto"/>
                <w:kern w:val="2"/>
                <w:szCs w:val="21"/>
                <w:highlight w:val="none"/>
              </w:rPr>
              <w:t>比选申请人须知附录4资格审查条件</w:t>
            </w:r>
            <w:r>
              <w:rPr>
                <w:rFonts w:hint="eastAsia" w:ascii="宋体" w:hAnsi="宋体" w:cs="宋体"/>
                <w:bCs/>
                <w:color w:val="auto"/>
                <w:kern w:val="2"/>
                <w:szCs w:val="21"/>
                <w:highlight w:val="none"/>
              </w:rPr>
              <w:t>；</w:t>
            </w:r>
          </w:p>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bCs/>
                <w:color w:val="auto"/>
                <w:kern w:val="2"/>
                <w:szCs w:val="21"/>
                <w:highlight w:val="none"/>
              </w:rPr>
              <w:t>（2）比选申请</w:t>
            </w:r>
            <w:r>
              <w:rPr>
                <w:rFonts w:hint="eastAsia" w:ascii="宋体" w:hAnsi="宋体" w:cs="宋体"/>
                <w:color w:val="auto"/>
                <w:sz w:val="21"/>
                <w:szCs w:val="21"/>
                <w:highlight w:val="none"/>
                <w:lang w:eastAsia="zh-CN"/>
              </w:rPr>
              <w:t>文件</w:t>
            </w:r>
            <w:r>
              <w:rPr>
                <w:rFonts w:hint="eastAsia" w:ascii="宋体" w:hAnsi="宋体" w:cs="宋体"/>
                <w:color w:val="auto"/>
                <w:sz w:val="21"/>
                <w:szCs w:val="21"/>
                <w:highlight w:val="none"/>
              </w:rPr>
              <w:t>按要求提供了信誉情况承诺函。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bCs/>
                <w:color w:val="auto"/>
                <w:kern w:val="2"/>
                <w:szCs w:val="21"/>
                <w:highlight w:val="none"/>
              </w:rPr>
            </w:pPr>
            <w:r>
              <w:rPr>
                <w:rFonts w:hint="eastAsia" w:ascii="宋体" w:hAnsi="宋体" w:cs="宋体"/>
                <w:bCs/>
                <w:color w:val="auto"/>
                <w:kern w:val="2"/>
                <w:szCs w:val="21"/>
                <w:highlight w:val="none"/>
              </w:rPr>
              <w:t>6.其他要求</w:t>
            </w:r>
          </w:p>
        </w:tc>
        <w:tc>
          <w:tcPr>
            <w:tcW w:w="5537"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rPr>
                <w:color w:val="auto"/>
                <w:highlight w:val="none"/>
              </w:rPr>
            </w:pPr>
            <w:r>
              <w:rPr>
                <w:rFonts w:hint="eastAsia" w:ascii="宋体" w:hAnsi="宋体" w:cs="宋体"/>
                <w:color w:val="auto"/>
                <w:highlight w:val="none"/>
              </w:rPr>
              <w:t>同一品牌的LED小间距设备，仅能有一家单位参与比选申请，否则相关单位比选申请均无效。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tcBorders>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7835"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bCs/>
                <w:color w:val="auto"/>
                <w:kern w:val="2"/>
                <w:szCs w:val="21"/>
                <w:highlight w:val="none"/>
              </w:rPr>
              <w:t>7.比选申请人不存在第二章“比选申请人须知”第1.4.3项规定的任何一种情形。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restart"/>
            <w:tcBorders>
              <w:top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2.1.3</w:t>
            </w:r>
          </w:p>
          <w:p>
            <w:pPr>
              <w:widowControl w:val="0"/>
              <w:adjustRightInd w:val="0"/>
              <w:snapToGrid w:val="0"/>
              <w:spacing w:after="120"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响应性评审标准</w:t>
            </w: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1.比选申请报价</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highlight w:val="none"/>
              </w:rPr>
              <w:t>符合第二章</w:t>
            </w:r>
            <w:r>
              <w:rPr>
                <w:rFonts w:hint="eastAsia" w:ascii="宋体" w:hAnsi="宋体" w:cs="宋体"/>
                <w:color w:val="auto"/>
                <w:kern w:val="2"/>
                <w:szCs w:val="21"/>
                <w:highlight w:val="none"/>
              </w:rPr>
              <w:t>“</w:t>
            </w:r>
            <w:r>
              <w:rPr>
                <w:rFonts w:hint="eastAsia" w:ascii="宋体" w:hAnsi="宋体" w:cs="宋体"/>
                <w:color w:val="auto"/>
                <w:highlight w:val="none"/>
              </w:rPr>
              <w:t>比选申请人须知</w:t>
            </w:r>
            <w:r>
              <w:rPr>
                <w:rFonts w:hint="eastAsia" w:ascii="宋体" w:hAnsi="宋体" w:cs="宋体"/>
                <w:color w:val="auto"/>
                <w:kern w:val="2"/>
                <w:szCs w:val="21"/>
                <w:highlight w:val="none"/>
              </w:rPr>
              <w:t>”</w:t>
            </w:r>
            <w:r>
              <w:rPr>
                <w:rFonts w:hint="eastAsia" w:ascii="宋体" w:hAnsi="宋体" w:cs="宋体"/>
                <w:color w:val="auto"/>
                <w:highlight w:val="none"/>
              </w:rPr>
              <w:t>第</w:t>
            </w:r>
            <w:r>
              <w:rPr>
                <w:rFonts w:hint="eastAsia" w:ascii="宋体" w:hAnsi="宋体" w:cs="宋体"/>
                <w:color w:val="auto"/>
                <w:spacing w:val="-78"/>
                <w:highlight w:val="none"/>
              </w:rPr>
              <w:t xml:space="preserve"> </w:t>
            </w:r>
            <w:r>
              <w:rPr>
                <w:rFonts w:hint="eastAsia" w:ascii="宋体" w:hAnsi="宋体" w:cs="宋体"/>
                <w:color w:val="auto"/>
                <w:highlight w:val="none"/>
              </w:rPr>
              <w:t>3.2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tcBorders>
              <w:right w:val="single" w:color="auto" w:sz="4" w:space="0"/>
            </w:tcBorders>
            <w:vAlign w:val="center"/>
          </w:tcPr>
          <w:p>
            <w:pPr>
              <w:widowControl w:val="0"/>
              <w:adjustRightInd w:val="0"/>
              <w:snapToGrid w:val="0"/>
              <w:spacing w:after="120" w:line="240" w:lineRule="auto"/>
              <w:jc w:val="center"/>
              <w:rPr>
                <w:rFonts w:ascii="宋体" w:hAnsi="宋体" w:cs="宋体"/>
                <w:color w:val="auto"/>
                <w:kern w:val="2"/>
                <w:szCs w:val="21"/>
                <w:highlight w:val="none"/>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2.比选申请内容</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符合第二章“比选申请人须知”第1.3.1项规定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3.供货期</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符合第二章“比选申请人须知”第1.3.2项规定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4.交货地点</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符合第二章“比选申请人须知”第1.3.3项规定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5.技术性能指标</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（1）符合第二章“比选申请人须知”第1.3.4项规定</w:t>
            </w:r>
          </w:p>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（2）设备技术性能指标符合供货要求中的技术性能指标。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6.比选申请有效期</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符合第二章“比选申请人须知”第3.3.1项规定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7.比选申请保证金</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符合第二章“比选申请人须知”第3.4.1项规定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8.权利义务</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符合第二章“比选申请人须知”第1.11.1项规定和第四章“合同条款及格式”中的实质性要求和条件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9.技术服务和质保期服务</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10.技术支持资料</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符合第二章“比选申请人须知”第1.11.3项规定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b/>
                <w:color w:val="auto"/>
                <w:sz w:val="20"/>
                <w:szCs w:val="20"/>
                <w:highlight w:val="none"/>
              </w:rPr>
              <w:t>条款号</w:t>
            </w: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color w:val="auto"/>
                <w:kern w:val="2"/>
                <w:szCs w:val="21"/>
                <w:highlight w:val="none"/>
              </w:rPr>
            </w:pPr>
            <w:r>
              <w:rPr>
                <w:rFonts w:hint="eastAsia" w:ascii="宋体" w:hAnsi="宋体" w:cs="宋体"/>
                <w:b/>
                <w:color w:val="auto"/>
                <w:sz w:val="20"/>
                <w:szCs w:val="20"/>
                <w:highlight w:val="none"/>
              </w:rPr>
              <w:t>条款内容</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color w:val="auto"/>
                <w:kern w:val="2"/>
                <w:szCs w:val="21"/>
                <w:highlight w:val="none"/>
              </w:rPr>
            </w:pPr>
            <w:r>
              <w:rPr>
                <w:rFonts w:hint="eastAsia" w:ascii="宋体" w:hAnsi="宋体" w:cs="宋体"/>
                <w:b/>
                <w:color w:val="auto"/>
                <w:sz w:val="20"/>
                <w:szCs w:val="20"/>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sz w:val="20"/>
                <w:szCs w:val="20"/>
                <w:highlight w:val="none"/>
              </w:rPr>
              <w:t>2.2.1</w:t>
            </w: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color w:val="auto"/>
                <w:kern w:val="2"/>
                <w:szCs w:val="21"/>
                <w:highlight w:val="none"/>
              </w:rPr>
            </w:pPr>
            <w:r>
              <w:rPr>
                <w:rFonts w:hint="eastAsia" w:ascii="宋体" w:hAnsi="宋体" w:cs="宋体"/>
                <w:color w:val="auto"/>
                <w:sz w:val="20"/>
                <w:szCs w:val="20"/>
                <w:highlight w:val="none"/>
              </w:rPr>
              <w:t>分值构成（总分100分）</w:t>
            </w:r>
          </w:p>
        </w:tc>
        <w:tc>
          <w:tcPr>
            <w:tcW w:w="553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sz w:val="20"/>
                <w:szCs w:val="20"/>
                <w:highlight w:val="none"/>
              </w:rPr>
            </w:pPr>
            <w:r>
              <w:rPr>
                <w:rFonts w:hint="eastAsia" w:ascii="宋体" w:hAnsi="宋体" w:cs="宋体"/>
                <w:color w:val="auto"/>
                <w:sz w:val="20"/>
                <w:szCs w:val="20"/>
                <w:highlight w:val="none"/>
              </w:rPr>
              <w:t>商务部分：8分</w:t>
            </w:r>
          </w:p>
          <w:p>
            <w:pPr>
              <w:spacing w:line="240" w:lineRule="auto"/>
              <w:rPr>
                <w:rFonts w:ascii="宋体" w:hAnsi="宋体" w:cs="宋体"/>
                <w:color w:val="auto"/>
                <w:sz w:val="20"/>
                <w:szCs w:val="20"/>
                <w:highlight w:val="none"/>
              </w:rPr>
            </w:pPr>
            <w:r>
              <w:rPr>
                <w:rFonts w:hint="eastAsia" w:ascii="宋体" w:hAnsi="宋体" w:cs="宋体"/>
                <w:color w:val="auto"/>
                <w:sz w:val="20"/>
                <w:szCs w:val="20"/>
                <w:highlight w:val="none"/>
              </w:rPr>
              <w:t>技术部分：32分</w:t>
            </w:r>
          </w:p>
          <w:p>
            <w:pPr>
              <w:widowControl w:val="0"/>
              <w:adjustRightInd w:val="0"/>
              <w:snapToGrid w:val="0"/>
              <w:spacing w:line="240" w:lineRule="auto"/>
              <w:jc w:val="both"/>
              <w:rPr>
                <w:rFonts w:hint="eastAsia" w:ascii="宋体" w:hAnsi="宋体" w:cs="宋体"/>
                <w:color w:val="auto"/>
                <w:kern w:val="2"/>
                <w:szCs w:val="21"/>
                <w:highlight w:val="none"/>
              </w:rPr>
            </w:pPr>
            <w:r>
              <w:rPr>
                <w:rFonts w:hint="eastAsia" w:ascii="宋体" w:hAnsi="宋体" w:cs="宋体"/>
                <w:color w:val="auto"/>
                <w:sz w:val="20"/>
                <w:szCs w:val="20"/>
                <w:highlight w:val="none"/>
              </w:rPr>
              <w:t>报价部分：60分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sz w:val="20"/>
                <w:szCs w:val="20"/>
                <w:highlight w:val="none"/>
              </w:rPr>
              <w:t>2.2.2</w:t>
            </w: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color w:val="auto"/>
                <w:kern w:val="2"/>
                <w:szCs w:val="21"/>
                <w:highlight w:val="none"/>
              </w:rPr>
            </w:pPr>
            <w:r>
              <w:rPr>
                <w:rFonts w:hint="eastAsia" w:ascii="宋体" w:hAnsi="宋体" w:cs="宋体"/>
                <w:color w:val="auto"/>
                <w:sz w:val="20"/>
                <w:szCs w:val="20"/>
                <w:highlight w:val="none"/>
              </w:rPr>
              <w:t>评审价计算方法</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color w:val="auto"/>
                <w:kern w:val="2"/>
                <w:szCs w:val="21"/>
                <w:highlight w:val="none"/>
              </w:rPr>
            </w:pPr>
            <w:r>
              <w:rPr>
                <w:rFonts w:hint="eastAsia" w:ascii="宋体" w:hAnsi="宋体" w:cs="宋体"/>
                <w:color w:val="auto"/>
                <w:sz w:val="20"/>
                <w:szCs w:val="20"/>
                <w:highlight w:val="none"/>
              </w:rPr>
              <w:t>评审价=比选申请函载明的比选申请总报价大写金额。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sz w:val="20"/>
                <w:szCs w:val="20"/>
                <w:highlight w:val="none"/>
              </w:rPr>
              <w:t>2.2.3</w:t>
            </w: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color w:val="auto"/>
                <w:kern w:val="2"/>
                <w:szCs w:val="21"/>
                <w:highlight w:val="none"/>
              </w:rPr>
            </w:pPr>
            <w:r>
              <w:rPr>
                <w:rFonts w:hint="eastAsia" w:ascii="宋体" w:hAnsi="宋体" w:cs="宋体"/>
                <w:color w:val="auto"/>
                <w:sz w:val="20"/>
                <w:szCs w:val="20"/>
                <w:highlight w:val="none"/>
              </w:rPr>
              <w:t>降幅百分比计算方法</w:t>
            </w:r>
          </w:p>
        </w:tc>
        <w:tc>
          <w:tcPr>
            <w:tcW w:w="553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240" w:lineRule="auto"/>
              <w:jc w:val="both"/>
              <w:rPr>
                <w:rFonts w:hint="eastAsia" w:ascii="宋体" w:hAnsi="宋体" w:cs="宋体"/>
                <w:color w:val="auto"/>
                <w:kern w:val="2"/>
                <w:szCs w:val="21"/>
                <w:highlight w:val="none"/>
              </w:rPr>
            </w:pPr>
            <w:r>
              <w:rPr>
                <w:rFonts w:hint="eastAsia" w:ascii="宋体" w:hAnsi="宋体" w:cs="宋体"/>
                <w:color w:val="auto"/>
                <w:sz w:val="20"/>
                <w:szCs w:val="20"/>
                <w:highlight w:val="none"/>
              </w:rPr>
              <w:t>降幅百分比=（（最高比选限价-比选申请总报价）/最高比选限价）*100% 。降幅百分比从百分比小数点后第三位开始四舍五入保留百分比小数点后两位小数。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b/>
                <w:color w:val="auto"/>
                <w:sz w:val="20"/>
                <w:szCs w:val="20"/>
                <w:highlight w:val="none"/>
              </w:rPr>
              <w:t>条款号</w:t>
            </w: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color w:val="auto"/>
                <w:kern w:val="2"/>
                <w:szCs w:val="21"/>
                <w:highlight w:val="none"/>
              </w:rPr>
            </w:pPr>
            <w:r>
              <w:rPr>
                <w:rFonts w:hint="eastAsia" w:ascii="宋体" w:hAnsi="宋体" w:cs="宋体"/>
                <w:b/>
                <w:color w:val="auto"/>
                <w:sz w:val="20"/>
                <w:szCs w:val="20"/>
                <w:highlight w:val="none"/>
              </w:rPr>
              <w:t>条款内容</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color w:val="auto"/>
                <w:kern w:val="2"/>
                <w:szCs w:val="21"/>
                <w:highlight w:val="none"/>
              </w:rPr>
            </w:pPr>
            <w:r>
              <w:rPr>
                <w:rFonts w:hint="eastAsia" w:ascii="宋体" w:hAnsi="宋体" w:cs="宋体"/>
                <w:b/>
                <w:color w:val="auto"/>
                <w:sz w:val="20"/>
                <w:szCs w:val="20"/>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vMerge w:val="restart"/>
            <w:tcBorders>
              <w:right w:val="single" w:color="auto" w:sz="4" w:space="0"/>
            </w:tcBorders>
            <w:vAlign w:val="center"/>
          </w:tcPr>
          <w:p>
            <w:pPr>
              <w:widowControl w:val="0"/>
              <w:adjustRightInd w:val="0"/>
              <w:snapToGrid w:val="0"/>
              <w:spacing w:line="240" w:lineRule="auto"/>
              <w:jc w:val="center"/>
              <w:rPr>
                <w:rFonts w:hint="eastAsia" w:ascii="宋体" w:hAnsi="宋体" w:cs="宋体"/>
                <w:b/>
                <w:color w:val="auto"/>
                <w:sz w:val="20"/>
                <w:szCs w:val="20"/>
                <w:highlight w:val="none"/>
              </w:rPr>
            </w:pPr>
            <w:r>
              <w:rPr>
                <w:rFonts w:hint="eastAsia" w:ascii="宋体" w:hAnsi="宋体" w:cs="宋体"/>
                <w:color w:val="auto"/>
                <w:sz w:val="20"/>
                <w:szCs w:val="20"/>
                <w:highlight w:val="none"/>
              </w:rPr>
              <w:t>2.2.4（1）</w:t>
            </w:r>
          </w:p>
        </w:tc>
        <w:tc>
          <w:tcPr>
            <w:tcW w:w="2298"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b/>
                <w:color w:val="auto"/>
                <w:sz w:val="20"/>
                <w:szCs w:val="20"/>
                <w:highlight w:val="none"/>
              </w:rPr>
            </w:pPr>
            <w:r>
              <w:rPr>
                <w:rFonts w:hint="eastAsia" w:ascii="宋体" w:hAnsi="宋体" w:cs="宋体"/>
                <w:color w:val="auto"/>
                <w:sz w:val="20"/>
                <w:szCs w:val="20"/>
                <w:highlight w:val="none"/>
              </w:rPr>
              <w:t>商务评分（8分）</w:t>
            </w:r>
          </w:p>
        </w:tc>
        <w:tc>
          <w:tcPr>
            <w:tcW w:w="553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sz w:val="20"/>
                <w:szCs w:val="20"/>
                <w:highlight w:val="none"/>
              </w:rPr>
            </w:pPr>
            <w:r>
              <w:rPr>
                <w:rFonts w:hint="eastAsia" w:ascii="宋体" w:hAnsi="宋体" w:cs="宋体"/>
                <w:color w:val="auto"/>
                <w:sz w:val="20"/>
                <w:szCs w:val="20"/>
                <w:highlight w:val="none"/>
              </w:rPr>
              <w:t>1、业绩评分因素（本项最多得7分）；</w:t>
            </w:r>
          </w:p>
          <w:p>
            <w:pPr>
              <w:spacing w:line="240" w:lineRule="auto"/>
              <w:rPr>
                <w:rFonts w:ascii="宋体" w:hAnsi="宋体" w:cs="宋体"/>
                <w:bCs/>
                <w:color w:val="auto"/>
                <w:kern w:val="2"/>
                <w:sz w:val="20"/>
                <w:szCs w:val="21"/>
                <w:highlight w:val="none"/>
              </w:rPr>
            </w:pPr>
            <w:r>
              <w:rPr>
                <w:rFonts w:hint="eastAsia" w:ascii="宋体" w:hAnsi="宋体" w:cs="宋体"/>
                <w:color w:val="auto"/>
                <w:sz w:val="20"/>
                <w:szCs w:val="20"/>
                <w:highlight w:val="none"/>
              </w:rPr>
              <w:t>（1）业绩满足</w:t>
            </w:r>
            <w:r>
              <w:rPr>
                <w:rFonts w:hint="eastAsia" w:ascii="宋体" w:hAnsi="宋体" w:cs="宋体"/>
                <w:bCs/>
                <w:color w:val="auto"/>
                <w:kern w:val="2"/>
                <w:sz w:val="20"/>
                <w:szCs w:val="21"/>
                <w:highlight w:val="none"/>
              </w:rPr>
              <w:t>第二章“比选申请人须知前附表”第1.4.1项资格审查基本要求的，得基本分6分。</w:t>
            </w:r>
          </w:p>
          <w:p>
            <w:pPr>
              <w:spacing w:line="240" w:lineRule="auto"/>
              <w:rPr>
                <w:rFonts w:ascii="宋体" w:hAnsi="宋体" w:cs="宋体"/>
                <w:bCs/>
                <w:color w:val="auto"/>
                <w:kern w:val="2"/>
                <w:sz w:val="20"/>
                <w:szCs w:val="21"/>
                <w:highlight w:val="none"/>
              </w:rPr>
            </w:pPr>
            <w:r>
              <w:rPr>
                <w:rFonts w:hint="eastAsia" w:ascii="宋体" w:hAnsi="宋体" w:cs="宋体"/>
                <w:color w:val="auto"/>
                <w:sz w:val="20"/>
                <w:szCs w:val="20"/>
                <w:highlight w:val="none"/>
              </w:rPr>
              <w:t>（2）</w:t>
            </w:r>
            <w:r>
              <w:rPr>
                <w:rFonts w:hint="eastAsia" w:ascii="宋体" w:hAnsi="宋体" w:cs="宋体"/>
                <w:bCs/>
                <w:color w:val="auto"/>
                <w:kern w:val="2"/>
                <w:sz w:val="20"/>
                <w:szCs w:val="21"/>
                <w:highlight w:val="none"/>
              </w:rPr>
              <w:t>除资格审查要求的基本业绩外，每增加1个</w:t>
            </w:r>
            <w:r>
              <w:rPr>
                <w:rFonts w:hint="eastAsia" w:ascii="宋体" w:hAnsi="宋体" w:cs="宋体"/>
                <w:bCs/>
                <w:color w:val="auto"/>
                <w:kern w:val="2"/>
                <w:sz w:val="20"/>
                <w:szCs w:val="21"/>
                <w:highlight w:val="none"/>
                <w:lang w:val="en-US" w:eastAsia="zh-CN"/>
              </w:rPr>
              <w:t>满足</w:t>
            </w:r>
            <w:r>
              <w:rPr>
                <w:rFonts w:hint="eastAsia" w:ascii="宋体" w:hAnsi="宋体" w:cs="宋体"/>
                <w:bCs/>
                <w:color w:val="auto"/>
                <w:kern w:val="2"/>
                <w:sz w:val="20"/>
                <w:szCs w:val="21"/>
                <w:highlight w:val="none"/>
              </w:rPr>
              <w:t>“比选申请人须知前附表”第1.4.1项资格审查基本要求</w:t>
            </w:r>
            <w:r>
              <w:rPr>
                <w:rFonts w:hint="eastAsia" w:ascii="宋体" w:hAnsi="宋体" w:cs="宋体"/>
                <w:bCs/>
                <w:color w:val="auto"/>
                <w:kern w:val="2"/>
                <w:sz w:val="20"/>
                <w:szCs w:val="21"/>
                <w:highlight w:val="none"/>
                <w:lang w:val="en-US" w:eastAsia="zh-CN"/>
              </w:rPr>
              <w:t>的</w:t>
            </w:r>
            <w:r>
              <w:rPr>
                <w:rFonts w:hint="eastAsia" w:ascii="宋体" w:hAnsi="宋体" w:cs="宋体"/>
                <w:bCs/>
                <w:color w:val="auto"/>
                <w:kern w:val="2"/>
                <w:sz w:val="20"/>
                <w:szCs w:val="21"/>
                <w:highlight w:val="none"/>
              </w:rPr>
              <w:t>类似项目业绩加0.5分，本项最多加1分。</w:t>
            </w:r>
          </w:p>
          <w:p>
            <w:pPr>
              <w:widowControl w:val="0"/>
              <w:adjustRightInd w:val="0"/>
              <w:snapToGrid w:val="0"/>
              <w:spacing w:line="240" w:lineRule="auto"/>
              <w:jc w:val="both"/>
              <w:rPr>
                <w:rFonts w:hint="eastAsia" w:ascii="宋体" w:hAnsi="宋体" w:cs="宋体"/>
                <w:b/>
                <w:color w:val="auto"/>
                <w:sz w:val="20"/>
                <w:szCs w:val="20"/>
                <w:highlight w:val="none"/>
              </w:rPr>
            </w:pPr>
            <w:r>
              <w:rPr>
                <w:rFonts w:hint="eastAsia" w:ascii="宋体" w:hAnsi="宋体" w:cs="宋体"/>
                <w:bCs/>
                <w:color w:val="auto"/>
                <w:kern w:val="2"/>
                <w:sz w:val="20"/>
                <w:szCs w:val="21"/>
                <w:highlight w:val="none"/>
              </w:rPr>
              <w:t>注:业绩证明均需提供合同（须包括签订合同的首页、项目名称、数量页、签字盖章页等关键页）的彩色扫描件并加盖比选申请人单位公章；业绩时间以合同签订时间为准。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cs="宋体"/>
                <w:b/>
                <w:color w:val="auto"/>
                <w:sz w:val="20"/>
                <w:szCs w:val="20"/>
                <w:highlight w:val="none"/>
              </w:rPr>
            </w:pPr>
          </w:p>
        </w:tc>
        <w:tc>
          <w:tcPr>
            <w:tcW w:w="2298"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b/>
                <w:color w:val="auto"/>
                <w:sz w:val="20"/>
                <w:szCs w:val="20"/>
                <w:highlight w:val="none"/>
              </w:rPr>
            </w:pPr>
          </w:p>
        </w:tc>
        <w:tc>
          <w:tcPr>
            <w:tcW w:w="553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240" w:lineRule="auto"/>
              <w:jc w:val="both"/>
              <w:rPr>
                <w:rFonts w:hint="eastAsia" w:ascii="宋体" w:hAnsi="宋体" w:cs="宋体"/>
                <w:b/>
                <w:color w:val="auto"/>
                <w:sz w:val="20"/>
                <w:szCs w:val="20"/>
                <w:highlight w:val="none"/>
              </w:rPr>
            </w:pPr>
            <w:r>
              <w:rPr>
                <w:rFonts w:hint="eastAsia" w:ascii="宋体" w:hAnsi="宋体" w:cs="宋体"/>
                <w:bCs/>
                <w:color w:val="auto"/>
                <w:kern w:val="2"/>
                <w:sz w:val="20"/>
                <w:szCs w:val="21"/>
                <w:highlight w:val="none"/>
              </w:rPr>
              <w:t>2、比选申请人承诺不需支付预付款的加1分。（以承诺函为准，无承诺函不得分。）承诺函附在比选申请文件九、其他资料中。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vMerge w:val="restart"/>
            <w:tcBorders>
              <w:right w:val="single" w:color="auto" w:sz="4" w:space="0"/>
            </w:tcBorders>
            <w:vAlign w:val="center"/>
          </w:tcPr>
          <w:p>
            <w:pPr>
              <w:widowControl w:val="0"/>
              <w:adjustRightInd w:val="0"/>
              <w:snapToGrid w:val="0"/>
              <w:spacing w:line="240" w:lineRule="auto"/>
              <w:jc w:val="center"/>
              <w:rPr>
                <w:rFonts w:hint="eastAsia" w:ascii="宋体" w:hAnsi="宋体" w:cs="宋体"/>
                <w:b/>
                <w:color w:val="auto"/>
                <w:sz w:val="20"/>
                <w:szCs w:val="20"/>
                <w:highlight w:val="none"/>
              </w:rPr>
            </w:pPr>
            <w:r>
              <w:rPr>
                <w:rFonts w:hint="eastAsia" w:ascii="宋体" w:hAnsi="宋体" w:cs="宋体"/>
                <w:color w:val="auto"/>
                <w:sz w:val="20"/>
                <w:szCs w:val="20"/>
                <w:highlight w:val="none"/>
              </w:rPr>
              <w:t>2.2.4（2）</w:t>
            </w:r>
          </w:p>
        </w:tc>
        <w:tc>
          <w:tcPr>
            <w:tcW w:w="2298"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b/>
                <w:color w:val="auto"/>
                <w:sz w:val="20"/>
                <w:szCs w:val="20"/>
                <w:highlight w:val="none"/>
              </w:rPr>
            </w:pPr>
            <w:r>
              <w:rPr>
                <w:rFonts w:hint="eastAsia" w:ascii="宋体" w:hAnsi="宋体" w:cs="宋体"/>
                <w:color w:val="auto"/>
                <w:sz w:val="20"/>
                <w:szCs w:val="20"/>
                <w:highlight w:val="none"/>
              </w:rPr>
              <w:t>技术评分（32分）</w:t>
            </w:r>
          </w:p>
        </w:tc>
        <w:tc>
          <w:tcPr>
            <w:tcW w:w="553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sz w:val="20"/>
                <w:szCs w:val="21"/>
                <w:highlight w:val="none"/>
              </w:rPr>
            </w:pPr>
            <w:r>
              <w:rPr>
                <w:rFonts w:hint="eastAsia" w:ascii="宋体" w:hAnsi="宋体" w:cs="宋体"/>
                <w:color w:val="auto"/>
                <w:sz w:val="20"/>
                <w:szCs w:val="21"/>
                <w:highlight w:val="none"/>
              </w:rPr>
              <w:t>1、设备技术性能指标（</w:t>
            </w:r>
            <w:r>
              <w:rPr>
                <w:rFonts w:hint="eastAsia" w:ascii="宋体" w:hAnsi="宋体" w:cs="宋体"/>
                <w:color w:val="auto"/>
                <w:sz w:val="20"/>
                <w:szCs w:val="20"/>
                <w:highlight w:val="none"/>
              </w:rPr>
              <w:t>本项最多得</w:t>
            </w:r>
            <w:r>
              <w:rPr>
                <w:rFonts w:hint="eastAsia" w:ascii="宋体" w:hAnsi="宋体" w:cs="宋体"/>
                <w:color w:val="auto"/>
                <w:sz w:val="20"/>
                <w:szCs w:val="21"/>
                <w:highlight w:val="none"/>
              </w:rPr>
              <w:t>20分）</w:t>
            </w:r>
          </w:p>
          <w:p>
            <w:pPr>
              <w:spacing w:line="240" w:lineRule="auto"/>
              <w:rPr>
                <w:rFonts w:ascii="宋体" w:hAnsi="宋体" w:cs="宋体"/>
                <w:color w:val="auto"/>
                <w:sz w:val="20"/>
                <w:szCs w:val="21"/>
                <w:highlight w:val="none"/>
              </w:rPr>
            </w:pPr>
            <w:r>
              <w:rPr>
                <w:rFonts w:hint="eastAsia" w:ascii="宋体" w:hAnsi="宋体" w:cs="宋体"/>
                <w:color w:val="auto"/>
                <w:sz w:val="20"/>
                <w:szCs w:val="21"/>
                <w:highlight w:val="none"/>
              </w:rPr>
              <w:t>（1）供货要求中的技术性能指标要求中，任意一条不满足的，其比选申请将被否决。</w:t>
            </w:r>
          </w:p>
          <w:p>
            <w:pPr>
              <w:widowControl w:val="0"/>
              <w:adjustRightInd w:val="0"/>
              <w:snapToGrid w:val="0"/>
              <w:spacing w:line="240" w:lineRule="auto"/>
              <w:jc w:val="both"/>
              <w:rPr>
                <w:rFonts w:hint="eastAsia" w:ascii="宋体" w:hAnsi="宋体" w:cs="宋体"/>
                <w:bCs/>
                <w:color w:val="auto"/>
                <w:kern w:val="2"/>
                <w:sz w:val="20"/>
                <w:szCs w:val="21"/>
                <w:highlight w:val="none"/>
              </w:rPr>
            </w:pPr>
            <w:r>
              <w:rPr>
                <w:rFonts w:hint="eastAsia" w:ascii="宋体" w:hAnsi="宋体" w:cs="宋体"/>
                <w:color w:val="auto"/>
                <w:sz w:val="20"/>
                <w:szCs w:val="21"/>
                <w:highlight w:val="none"/>
              </w:rPr>
              <w:t>（2）全部响应并满足要求的，得20分。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cs="宋体"/>
                <w:b/>
                <w:color w:val="auto"/>
                <w:sz w:val="20"/>
                <w:szCs w:val="20"/>
                <w:highlight w:val="none"/>
              </w:rPr>
            </w:pPr>
          </w:p>
        </w:tc>
        <w:tc>
          <w:tcPr>
            <w:tcW w:w="2298" w:type="dxa"/>
            <w:vMerge w:val="continue"/>
            <w:tcBorders>
              <w:left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b/>
                <w:color w:val="auto"/>
                <w:sz w:val="20"/>
                <w:szCs w:val="20"/>
                <w:highlight w:val="none"/>
              </w:rPr>
            </w:pPr>
          </w:p>
        </w:tc>
        <w:tc>
          <w:tcPr>
            <w:tcW w:w="553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sz w:val="20"/>
                <w:szCs w:val="21"/>
                <w:highlight w:val="none"/>
              </w:rPr>
            </w:pPr>
            <w:r>
              <w:rPr>
                <w:rFonts w:hint="eastAsia" w:ascii="宋体" w:hAnsi="宋体" w:cs="宋体"/>
                <w:color w:val="auto"/>
                <w:sz w:val="20"/>
                <w:szCs w:val="21"/>
                <w:highlight w:val="none"/>
              </w:rPr>
              <w:t>2、技术服务和质保期服务计划（</w:t>
            </w:r>
            <w:r>
              <w:rPr>
                <w:rFonts w:hint="eastAsia" w:ascii="宋体" w:hAnsi="宋体" w:cs="宋体"/>
                <w:color w:val="auto"/>
                <w:sz w:val="20"/>
                <w:szCs w:val="20"/>
                <w:highlight w:val="none"/>
              </w:rPr>
              <w:t>本项最多得</w:t>
            </w:r>
            <w:r>
              <w:rPr>
                <w:rFonts w:hint="eastAsia" w:ascii="宋体" w:hAnsi="宋体" w:cs="宋体"/>
                <w:color w:val="auto"/>
                <w:sz w:val="20"/>
                <w:szCs w:val="21"/>
                <w:highlight w:val="none"/>
              </w:rPr>
              <w:t>7分）</w:t>
            </w:r>
          </w:p>
          <w:p>
            <w:pPr>
              <w:spacing w:line="240" w:lineRule="auto"/>
              <w:ind w:firstLine="400" w:firstLineChars="200"/>
              <w:rPr>
                <w:rFonts w:ascii="宋体" w:hAnsi="宋体" w:cs="宋体"/>
                <w:color w:val="auto"/>
                <w:sz w:val="20"/>
                <w:szCs w:val="21"/>
                <w:highlight w:val="none"/>
              </w:rPr>
            </w:pPr>
            <w:r>
              <w:rPr>
                <w:rFonts w:hint="eastAsia" w:ascii="宋体" w:hAnsi="宋体" w:cs="宋体"/>
                <w:color w:val="auto"/>
                <w:sz w:val="20"/>
                <w:szCs w:val="21"/>
                <w:highlight w:val="none"/>
              </w:rPr>
              <w:t>按技术服务和质保期服务计划要求编制，针对技术服务和质保期服务计划切实可行性、针对性、完整性，按照以下评分因素进行评分：</w:t>
            </w:r>
          </w:p>
          <w:p>
            <w:pPr>
              <w:spacing w:line="240" w:lineRule="auto"/>
              <w:ind w:firstLine="400" w:firstLineChars="200"/>
              <w:rPr>
                <w:rFonts w:ascii="宋体" w:hAnsi="宋体" w:cs="宋体"/>
                <w:color w:val="auto"/>
                <w:sz w:val="20"/>
                <w:szCs w:val="21"/>
                <w:highlight w:val="none"/>
              </w:rPr>
            </w:pPr>
            <w:r>
              <w:rPr>
                <w:rFonts w:hint="eastAsia" w:ascii="宋体" w:hAnsi="宋体" w:cs="宋体"/>
                <w:color w:val="auto"/>
                <w:sz w:val="20"/>
                <w:szCs w:val="21"/>
                <w:highlight w:val="none"/>
              </w:rPr>
              <w:t>（1）生产制造进度计划、设备运输实施方案及保障措施按照比选文件格式要求编制，一般的得1分，较好的得1.1-1.2分，好的得1.3-1.4分。未编制不得分。</w:t>
            </w:r>
          </w:p>
          <w:p>
            <w:pPr>
              <w:spacing w:line="240" w:lineRule="auto"/>
              <w:ind w:firstLine="400" w:firstLineChars="200"/>
              <w:rPr>
                <w:rFonts w:ascii="宋体" w:hAnsi="宋体" w:cs="宋体"/>
                <w:color w:val="auto"/>
                <w:sz w:val="20"/>
                <w:szCs w:val="21"/>
                <w:highlight w:val="none"/>
              </w:rPr>
            </w:pPr>
            <w:r>
              <w:rPr>
                <w:rFonts w:hint="eastAsia" w:ascii="宋体" w:hAnsi="宋体" w:cs="宋体"/>
                <w:color w:val="auto"/>
                <w:sz w:val="20"/>
                <w:szCs w:val="21"/>
                <w:highlight w:val="none"/>
              </w:rPr>
              <w:t>（2）指导安装实施计划按照比选文件格式要求编制，一般的得1分，较好的得1.1-1.2分，好的得1.3-1.4分。未编制不得分。</w:t>
            </w:r>
          </w:p>
          <w:p>
            <w:pPr>
              <w:spacing w:line="240" w:lineRule="auto"/>
              <w:ind w:firstLine="400" w:firstLineChars="200"/>
              <w:rPr>
                <w:rFonts w:ascii="宋体" w:hAnsi="宋体" w:cs="宋体"/>
                <w:color w:val="auto"/>
                <w:sz w:val="20"/>
                <w:szCs w:val="21"/>
                <w:highlight w:val="none"/>
              </w:rPr>
            </w:pPr>
            <w:r>
              <w:rPr>
                <w:rFonts w:hint="eastAsia" w:ascii="宋体" w:hAnsi="宋体" w:cs="宋体"/>
                <w:color w:val="auto"/>
                <w:sz w:val="20"/>
                <w:szCs w:val="21"/>
                <w:highlight w:val="none"/>
              </w:rPr>
              <w:t>（3）确保设备质量的措施按照比选文件格式要求编制，一般的得1分，较好的得1.1-1.2分，好的得1.3-1.4分。未编制不得分。</w:t>
            </w:r>
          </w:p>
          <w:p>
            <w:pPr>
              <w:spacing w:line="240" w:lineRule="auto"/>
              <w:ind w:firstLine="400" w:firstLineChars="200"/>
              <w:rPr>
                <w:rFonts w:ascii="宋体" w:hAnsi="宋体" w:cs="宋体"/>
                <w:color w:val="auto"/>
                <w:sz w:val="20"/>
                <w:szCs w:val="21"/>
                <w:highlight w:val="none"/>
              </w:rPr>
            </w:pPr>
            <w:r>
              <w:rPr>
                <w:rFonts w:hint="eastAsia" w:ascii="宋体" w:hAnsi="宋体" w:cs="宋体"/>
                <w:color w:val="auto"/>
                <w:sz w:val="20"/>
                <w:szCs w:val="21"/>
                <w:highlight w:val="none"/>
              </w:rPr>
              <w:t>（4）售后技术服务体系及措施按照比选文件格式要求编制，一般的得1分，较好的得1.1-1.2分，好的得1.3-1.4分。未编制不得分。</w:t>
            </w:r>
          </w:p>
          <w:p>
            <w:pPr>
              <w:spacing w:line="240" w:lineRule="auto"/>
              <w:ind w:firstLine="400" w:firstLineChars="200"/>
              <w:rPr>
                <w:rFonts w:ascii="宋体" w:hAnsi="宋体" w:cs="宋体"/>
                <w:color w:val="auto"/>
                <w:sz w:val="20"/>
                <w:szCs w:val="21"/>
                <w:highlight w:val="none"/>
              </w:rPr>
            </w:pPr>
            <w:r>
              <w:rPr>
                <w:rFonts w:hint="eastAsia" w:ascii="宋体" w:hAnsi="宋体" w:cs="宋体"/>
                <w:color w:val="auto"/>
                <w:sz w:val="20"/>
                <w:szCs w:val="21"/>
                <w:highlight w:val="none"/>
              </w:rPr>
              <w:t>（5）质保期服务计划按照比选文件格式要求编制，一般的得1分，较好的得1.1-1.2分，好的得1.3-1.4分。未编制不得分。</w:t>
            </w:r>
          </w:p>
          <w:p>
            <w:pPr>
              <w:widowControl w:val="0"/>
              <w:adjustRightInd w:val="0"/>
              <w:snapToGrid w:val="0"/>
              <w:spacing w:line="240" w:lineRule="auto"/>
              <w:jc w:val="both"/>
              <w:rPr>
                <w:rFonts w:hint="eastAsia" w:ascii="宋体" w:hAnsi="宋体" w:cs="宋体"/>
                <w:bCs/>
                <w:color w:val="auto"/>
                <w:kern w:val="2"/>
                <w:sz w:val="20"/>
                <w:szCs w:val="21"/>
                <w:highlight w:val="none"/>
              </w:rPr>
            </w:pPr>
            <w:r>
              <w:rPr>
                <w:rFonts w:hint="eastAsia" w:ascii="宋体" w:hAnsi="宋体" w:cs="宋体"/>
                <w:color w:val="auto"/>
                <w:sz w:val="20"/>
                <w:szCs w:val="21"/>
                <w:highlight w:val="none"/>
              </w:rPr>
              <w:t>计算技术服务和质保期服务计划每项得分时，各项评分因素得分以评审委员会各专家评分的算数平均值为最终得分，得分计算四舍五入保留小数点后两位小数。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cs="宋体"/>
                <w:b/>
                <w:color w:val="auto"/>
                <w:sz w:val="20"/>
                <w:szCs w:val="20"/>
                <w:highlight w:val="none"/>
              </w:rPr>
            </w:pPr>
          </w:p>
        </w:tc>
        <w:tc>
          <w:tcPr>
            <w:tcW w:w="2298"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b/>
                <w:color w:val="auto"/>
                <w:sz w:val="20"/>
                <w:szCs w:val="20"/>
                <w:highlight w:val="none"/>
              </w:rPr>
            </w:pPr>
          </w:p>
        </w:tc>
        <w:tc>
          <w:tcPr>
            <w:tcW w:w="5537"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uto"/>
              <w:jc w:val="both"/>
              <w:rPr>
                <w:rFonts w:ascii="宋体" w:hAnsi="宋体" w:cs="宋体"/>
                <w:color w:val="auto"/>
                <w:szCs w:val="21"/>
                <w:highlight w:val="none"/>
              </w:rPr>
            </w:pPr>
            <w:r>
              <w:rPr>
                <w:rFonts w:hint="eastAsia" w:ascii="宋体" w:hAnsi="宋体" w:cs="宋体"/>
                <w:color w:val="auto"/>
                <w:szCs w:val="21"/>
                <w:highlight w:val="none"/>
              </w:rPr>
              <w:t>3、质量保证期（本项最多得5分）</w:t>
            </w:r>
          </w:p>
          <w:p>
            <w:pPr>
              <w:widowControl w:val="0"/>
              <w:adjustRightInd w:val="0"/>
              <w:snapToGrid w:val="0"/>
              <w:spacing w:line="240" w:lineRule="auto"/>
              <w:jc w:val="both"/>
              <w:rPr>
                <w:rFonts w:hint="eastAsia" w:ascii="宋体" w:hAnsi="宋体" w:cs="宋体"/>
                <w:bCs/>
                <w:color w:val="auto"/>
                <w:kern w:val="2"/>
                <w:sz w:val="20"/>
                <w:szCs w:val="21"/>
                <w:highlight w:val="none"/>
              </w:rPr>
            </w:pPr>
            <w:r>
              <w:rPr>
                <w:rFonts w:hint="eastAsia" w:ascii="宋体" w:hAnsi="宋体" w:cs="宋体"/>
                <w:color w:val="auto"/>
                <w:szCs w:val="21"/>
                <w:highlight w:val="none"/>
                <w:lang w:val="en-US" w:eastAsia="zh-CN"/>
              </w:rPr>
              <w:t>比选申请</w:t>
            </w:r>
            <w:r>
              <w:rPr>
                <w:rFonts w:hint="eastAsia" w:ascii="宋体" w:hAnsi="宋体" w:cs="宋体"/>
                <w:color w:val="auto"/>
                <w:szCs w:val="21"/>
                <w:highlight w:val="none"/>
              </w:rPr>
              <w:t>函中质量保证期满足招标文件</w:t>
            </w:r>
            <w:r>
              <w:rPr>
                <w:rFonts w:hint="eastAsia" w:ascii="宋体" w:hAnsi="宋体" w:cs="宋体"/>
                <w:b/>
                <w:bCs/>
                <w:color w:val="auto"/>
                <w:szCs w:val="21"/>
                <w:highlight w:val="none"/>
              </w:rPr>
              <w:t>基本要求（三年）的</w:t>
            </w:r>
            <w:r>
              <w:rPr>
                <w:rFonts w:hint="eastAsia" w:ascii="宋体" w:hAnsi="宋体" w:cs="宋体"/>
                <w:color w:val="auto"/>
                <w:szCs w:val="21"/>
                <w:highlight w:val="none"/>
              </w:rPr>
              <w:t>，本项得</w:t>
            </w:r>
            <w:r>
              <w:rPr>
                <w:rFonts w:ascii="宋体" w:hAnsi="宋体" w:cs="宋体"/>
                <w:color w:val="auto"/>
                <w:szCs w:val="21"/>
                <w:highlight w:val="none"/>
              </w:rPr>
              <w:t>3</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比选申请</w:t>
            </w:r>
            <w:r>
              <w:rPr>
                <w:rFonts w:hint="eastAsia" w:ascii="宋体" w:hAnsi="宋体" w:cs="宋体"/>
                <w:color w:val="auto"/>
                <w:szCs w:val="21"/>
                <w:highlight w:val="none"/>
              </w:rPr>
              <w:t>函中质量保证期达到四年的，本项得</w:t>
            </w:r>
            <w:r>
              <w:rPr>
                <w:rFonts w:ascii="宋体" w:hAnsi="宋体" w:cs="宋体"/>
                <w:color w:val="auto"/>
                <w:szCs w:val="21"/>
                <w:highlight w:val="none"/>
              </w:rPr>
              <w:t>4</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比选申请</w:t>
            </w:r>
            <w:r>
              <w:rPr>
                <w:rFonts w:hint="eastAsia" w:ascii="宋体" w:hAnsi="宋体" w:cs="宋体"/>
                <w:color w:val="auto"/>
                <w:szCs w:val="21"/>
                <w:highlight w:val="none"/>
              </w:rPr>
              <w:t>函中质量保证期达到五年的，本项得5分。</w:t>
            </w:r>
            <w:r>
              <w:rPr>
                <w:rFonts w:hint="eastAsia" w:ascii="宋体" w:hAnsi="宋体" w:cs="宋体"/>
                <w:b/>
                <w:bCs/>
                <w:color w:val="auto"/>
                <w:szCs w:val="21"/>
                <w:highlight w:val="none"/>
              </w:rPr>
              <w:t>（若投标人中标后实际提供设备质保期服务的期限低于</w:t>
            </w:r>
            <w:r>
              <w:rPr>
                <w:rFonts w:hint="eastAsia" w:ascii="宋体" w:hAnsi="宋体" w:cs="宋体"/>
                <w:color w:val="auto"/>
                <w:szCs w:val="21"/>
                <w:highlight w:val="none"/>
                <w:lang w:val="en-US" w:eastAsia="zh-CN"/>
              </w:rPr>
              <w:t>比选申请</w:t>
            </w:r>
            <w:r>
              <w:rPr>
                <w:rFonts w:hint="eastAsia" w:ascii="宋体" w:hAnsi="宋体" w:cs="宋体"/>
                <w:b/>
                <w:bCs/>
                <w:color w:val="auto"/>
                <w:szCs w:val="21"/>
                <w:highlight w:val="none"/>
              </w:rPr>
              <w:t>函中质量保证期，该投标人将被列入供应商黑名单）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tcBorders>
              <w:right w:val="single" w:color="auto" w:sz="4" w:space="0"/>
            </w:tcBorders>
            <w:vAlign w:val="center"/>
          </w:tcPr>
          <w:p>
            <w:pPr>
              <w:widowControl w:val="0"/>
              <w:adjustRightInd w:val="0"/>
              <w:snapToGrid w:val="0"/>
              <w:spacing w:line="240" w:lineRule="auto"/>
              <w:jc w:val="center"/>
              <w:rPr>
                <w:rFonts w:hint="eastAsia" w:ascii="宋体" w:hAnsi="宋体" w:cs="宋体"/>
                <w:b/>
                <w:color w:val="auto"/>
                <w:sz w:val="20"/>
                <w:szCs w:val="20"/>
                <w:highlight w:val="none"/>
              </w:rPr>
            </w:pPr>
            <w:r>
              <w:rPr>
                <w:rFonts w:hint="eastAsia" w:ascii="宋体" w:hAnsi="宋体" w:cs="宋体"/>
                <w:color w:val="auto"/>
                <w:sz w:val="20"/>
                <w:szCs w:val="20"/>
                <w:highlight w:val="none"/>
              </w:rPr>
              <w:t>2.2.4（3）</w:t>
            </w: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b/>
                <w:color w:val="auto"/>
                <w:sz w:val="20"/>
                <w:szCs w:val="20"/>
                <w:highlight w:val="none"/>
              </w:rPr>
            </w:pPr>
            <w:r>
              <w:rPr>
                <w:rFonts w:hint="eastAsia" w:ascii="宋体" w:hAnsi="宋体" w:cs="宋体"/>
                <w:color w:val="auto"/>
                <w:sz w:val="20"/>
                <w:szCs w:val="20"/>
                <w:highlight w:val="none"/>
              </w:rPr>
              <w:t>比选申请报价评分（60分）</w:t>
            </w:r>
          </w:p>
        </w:tc>
        <w:tc>
          <w:tcPr>
            <w:tcW w:w="553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240" w:lineRule="auto"/>
              <w:jc w:val="both"/>
              <w:rPr>
                <w:rFonts w:hint="eastAsia" w:ascii="宋体" w:hAnsi="宋体" w:cs="宋体"/>
                <w:bCs/>
                <w:color w:val="auto"/>
                <w:kern w:val="2"/>
                <w:sz w:val="20"/>
                <w:szCs w:val="21"/>
                <w:highlight w:val="none"/>
              </w:rPr>
            </w:pPr>
            <w:r>
              <w:rPr>
                <w:rFonts w:hint="eastAsia" w:ascii="宋体" w:hAnsi="宋体" w:cs="宋体"/>
                <w:color w:val="auto"/>
                <w:sz w:val="20"/>
                <w:szCs w:val="21"/>
                <w:highlight w:val="none"/>
              </w:rPr>
              <w:t>评审价得分分值=降幅百分比*100*1.5（如经上述分值计算结果大于60分，评审价得分按60分计），得分计算四舍五入保留小数点后两位小数。（本项最多得60分）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904" w:type="dxa"/>
            <w:vMerge w:val="restart"/>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3.1</w:t>
            </w:r>
          </w:p>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评审程序</w:t>
            </w: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ascii="宋体" w:hAnsi="宋体" w:cs="宋体"/>
                <w:bCs/>
                <w:color w:val="auto"/>
                <w:kern w:val="2"/>
                <w:szCs w:val="21"/>
                <w:highlight w:val="none"/>
              </w:rPr>
            </w:pPr>
            <w:r>
              <w:rPr>
                <w:rFonts w:hint="eastAsia" w:ascii="宋体" w:hAnsi="宋体" w:cs="宋体"/>
                <w:color w:val="auto"/>
                <w:kern w:val="2"/>
                <w:szCs w:val="21"/>
                <w:highlight w:val="none"/>
              </w:rPr>
              <w:t>3.1.1</w:t>
            </w:r>
          </w:p>
        </w:tc>
        <w:tc>
          <w:tcPr>
            <w:tcW w:w="7835" w:type="dxa"/>
            <w:gridSpan w:val="2"/>
            <w:tcBorders>
              <w:top w:val="single" w:color="auto" w:sz="4" w:space="0"/>
              <w:left w:val="single" w:color="auto" w:sz="4" w:space="0"/>
              <w:right w:val="single" w:color="auto" w:sz="4" w:space="0"/>
            </w:tcBorders>
            <w:vAlign w:val="center"/>
          </w:tcPr>
          <w:p>
            <w:pPr>
              <w:widowControl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评审委员会依据本章第2.1款规定的标准对比选申请文件进行初步评审。有一项不符合评审标准的，其比选申请予以否决。</w:t>
            </w:r>
          </w:p>
          <w:p>
            <w:pPr>
              <w:widowControl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评审委员会按照本章第2.2.2款规定的标准进行算术性修正，算术性修正后的比选申请报价超过最高比选申请限价按比选申请无效处理。</w:t>
            </w:r>
          </w:p>
          <w:p>
            <w:pPr>
              <w:widowControl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评审委员会按照本章第2.2.1款规定的标准计算出评审价。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904"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ascii="宋体" w:hAnsi="宋体" w:cs="宋体"/>
                <w:bCs/>
                <w:color w:val="auto"/>
                <w:kern w:val="2"/>
                <w:szCs w:val="21"/>
                <w:highlight w:val="none"/>
              </w:rPr>
            </w:pPr>
            <w:r>
              <w:rPr>
                <w:rFonts w:hint="eastAsia" w:ascii="宋体" w:hAnsi="宋体" w:cs="宋体"/>
                <w:color w:val="auto"/>
                <w:kern w:val="2"/>
                <w:szCs w:val="21"/>
                <w:highlight w:val="none"/>
              </w:rPr>
              <w:t>3.1.2</w:t>
            </w:r>
          </w:p>
        </w:tc>
        <w:tc>
          <w:tcPr>
            <w:tcW w:w="7835" w:type="dxa"/>
            <w:gridSpan w:val="2"/>
            <w:tcBorders>
              <w:top w:val="single" w:color="auto" w:sz="4" w:space="0"/>
              <w:left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比选申请人有下列情形的，其比选申请予以否决：</w:t>
            </w:r>
          </w:p>
          <w:p>
            <w:pPr>
              <w:widowControl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串通比选申请、以他人名义比选申请或弄虚作假或有其他违法行为的。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904" w:type="dxa"/>
            <w:vMerge w:val="restart"/>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3.3</w:t>
            </w:r>
          </w:p>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比选申请文件的澄清和补正</w:t>
            </w: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ascii="宋体" w:hAnsi="宋体" w:cs="宋体"/>
                <w:bCs/>
                <w:color w:val="auto"/>
                <w:kern w:val="2"/>
                <w:szCs w:val="21"/>
                <w:highlight w:val="none"/>
              </w:rPr>
            </w:pPr>
            <w:r>
              <w:rPr>
                <w:rFonts w:hint="eastAsia" w:ascii="宋体" w:hAnsi="宋体" w:cs="宋体"/>
                <w:color w:val="auto"/>
                <w:kern w:val="2"/>
                <w:szCs w:val="21"/>
                <w:highlight w:val="none"/>
              </w:rPr>
              <w:t>3.3.1</w:t>
            </w:r>
          </w:p>
        </w:tc>
        <w:tc>
          <w:tcPr>
            <w:tcW w:w="7835" w:type="dxa"/>
            <w:gridSpan w:val="2"/>
            <w:tcBorders>
              <w:top w:val="single" w:color="auto" w:sz="4" w:space="0"/>
              <w:left w:val="single" w:color="auto" w:sz="4" w:space="0"/>
              <w:right w:val="single" w:color="auto" w:sz="4" w:space="0"/>
            </w:tcBorders>
            <w:vAlign w:val="center"/>
          </w:tcPr>
          <w:p>
            <w:pPr>
              <w:widowControl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本项补充：比选申请人收到问题澄清通知后必须在规定时间内以书面（含传真）形式给予答复，比选申请人的澄清必须加盖比选申请人单位章或由法定代表人或其委托代理人签字。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904"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ascii="宋体" w:hAnsi="宋体" w:cs="宋体"/>
                <w:bCs/>
                <w:color w:val="auto"/>
                <w:kern w:val="2"/>
                <w:szCs w:val="21"/>
                <w:highlight w:val="none"/>
              </w:rPr>
            </w:pPr>
            <w:r>
              <w:rPr>
                <w:rFonts w:hint="eastAsia" w:ascii="宋体" w:hAnsi="宋体" w:cs="宋体"/>
                <w:color w:val="auto"/>
                <w:kern w:val="2"/>
                <w:szCs w:val="21"/>
                <w:highlight w:val="none"/>
              </w:rPr>
              <w:t>3.3.2</w:t>
            </w:r>
          </w:p>
        </w:tc>
        <w:tc>
          <w:tcPr>
            <w:tcW w:w="7835" w:type="dxa"/>
            <w:gridSpan w:val="2"/>
            <w:tcBorders>
              <w:top w:val="single" w:color="auto" w:sz="4" w:space="0"/>
              <w:left w:val="single" w:color="auto" w:sz="4" w:space="0"/>
              <w:right w:val="single" w:color="auto" w:sz="4" w:space="0"/>
            </w:tcBorders>
            <w:vAlign w:val="center"/>
          </w:tcPr>
          <w:p>
            <w:pPr>
              <w:widowControl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本项补充：若未影响到评审排序，则可不予澄清；若影响到评审排序的应进行澄清，并取得比选申请人的确认。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904"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3.3.5</w:t>
            </w:r>
          </w:p>
          <w:p>
            <w:pPr>
              <w:widowControl w:val="0"/>
              <w:adjustRightInd w:val="0"/>
              <w:snapToGrid w:val="0"/>
              <w:spacing w:line="240" w:lineRule="auto"/>
              <w:jc w:val="center"/>
              <w:rPr>
                <w:rFonts w:ascii="宋体" w:hAnsi="宋体" w:cs="宋体"/>
                <w:bCs/>
                <w:color w:val="auto"/>
                <w:kern w:val="2"/>
                <w:szCs w:val="21"/>
                <w:highlight w:val="none"/>
              </w:rPr>
            </w:pPr>
            <w:r>
              <w:rPr>
                <w:rFonts w:hint="eastAsia" w:ascii="宋体" w:hAnsi="宋体" w:cs="宋体"/>
                <w:color w:val="auto"/>
                <w:kern w:val="2"/>
                <w:szCs w:val="21"/>
                <w:highlight w:val="none"/>
              </w:rPr>
              <w:t>（新增）</w:t>
            </w:r>
          </w:p>
        </w:tc>
        <w:tc>
          <w:tcPr>
            <w:tcW w:w="7835" w:type="dxa"/>
            <w:gridSpan w:val="2"/>
            <w:tcBorders>
              <w:top w:val="single" w:color="auto" w:sz="4" w:space="0"/>
              <w:left w:val="single" w:color="auto" w:sz="4" w:space="0"/>
              <w:right w:val="single" w:color="auto" w:sz="4" w:space="0"/>
            </w:tcBorders>
            <w:vAlign w:val="center"/>
          </w:tcPr>
          <w:p>
            <w:pPr>
              <w:widowControl w:val="0"/>
              <w:snapToGrid w:val="0"/>
              <w:spacing w:line="240" w:lineRule="auto"/>
              <w:jc w:val="both"/>
              <w:rPr>
                <w:rFonts w:ascii="宋体" w:hAnsi="宋体" w:cs="宋体"/>
                <w:color w:val="auto"/>
                <w:kern w:val="2"/>
                <w:szCs w:val="21"/>
                <w:highlight w:val="none"/>
              </w:rPr>
            </w:pPr>
            <w:r>
              <w:rPr>
                <w:rFonts w:hint="eastAsia" w:ascii="宋体" w:hAnsi="宋体" w:cs="宋体"/>
                <w:color w:val="auto"/>
                <w:kern w:val="2"/>
                <w:szCs w:val="21"/>
                <w:highlight w:val="none"/>
              </w:rPr>
              <w:t>当比选申请人收到问题澄清通知后未在规定的时间内予以确认的，评审委员会将按照不利于比选申请人的原则处理。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904" w:type="dxa"/>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3.4</w:t>
            </w:r>
          </w:p>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评审结果</w:t>
            </w: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highlight w:val="none"/>
              </w:rPr>
            </w:pPr>
            <w:r>
              <w:rPr>
                <w:rFonts w:hint="eastAsia" w:ascii="宋体" w:hAnsi="宋体" w:cs="宋体"/>
                <w:color w:val="auto"/>
                <w:kern w:val="2"/>
                <w:szCs w:val="21"/>
                <w:highlight w:val="none"/>
              </w:rPr>
              <w:t>3.4.1</w:t>
            </w:r>
          </w:p>
          <w:p>
            <w:pPr>
              <w:widowControl w:val="0"/>
              <w:adjustRightInd w:val="0"/>
              <w:snapToGrid w:val="0"/>
              <w:spacing w:line="240" w:lineRule="auto"/>
              <w:jc w:val="center"/>
              <w:rPr>
                <w:rFonts w:ascii="宋体" w:hAnsi="宋体" w:cs="宋体"/>
                <w:bCs/>
                <w:color w:val="auto"/>
                <w:kern w:val="2"/>
                <w:szCs w:val="21"/>
                <w:highlight w:val="none"/>
              </w:rPr>
            </w:pPr>
            <w:r>
              <w:rPr>
                <w:rFonts w:hint="eastAsia" w:ascii="宋体" w:hAnsi="宋体" w:cs="宋体"/>
                <w:color w:val="auto"/>
                <w:kern w:val="2"/>
                <w:szCs w:val="21"/>
                <w:highlight w:val="none"/>
              </w:rPr>
              <w:t>推荐中选候选人</w:t>
            </w:r>
          </w:p>
        </w:tc>
        <w:tc>
          <w:tcPr>
            <w:tcW w:w="7835" w:type="dxa"/>
            <w:gridSpan w:val="2"/>
            <w:tcBorders>
              <w:top w:val="single" w:color="auto" w:sz="4" w:space="0"/>
              <w:left w:val="single" w:color="auto" w:sz="4" w:space="0"/>
              <w:right w:val="single" w:color="auto" w:sz="4" w:space="0"/>
            </w:tcBorders>
            <w:vAlign w:val="center"/>
          </w:tcPr>
          <w:p>
            <w:pPr>
              <w:widowControl w:val="0"/>
              <w:snapToGrid w:val="0"/>
              <w:spacing w:line="240" w:lineRule="auto"/>
              <w:jc w:val="both"/>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rPr>
              <w:t>评审委员会对满足比选文件实质性要求的比选申请文件，根据本章前附表第2.2款规定的评分标准进行打分，并按得分由高到低顺序推荐</w:t>
            </w:r>
            <w:r>
              <w:rPr>
                <w:rFonts w:hint="eastAsia" w:ascii="宋体" w:hAnsi="宋体" w:cs="宋体"/>
                <w:color w:val="auto"/>
                <w:kern w:val="2"/>
                <w:szCs w:val="21"/>
                <w:highlight w:val="none"/>
                <w:lang w:val="en-US" w:eastAsia="zh-CN"/>
              </w:rPr>
              <w:t>最多3名</w:t>
            </w:r>
            <w:r>
              <w:rPr>
                <w:rFonts w:hint="eastAsia" w:ascii="宋体" w:hAnsi="宋体" w:cs="宋体"/>
                <w:color w:val="auto"/>
                <w:kern w:val="2"/>
                <w:szCs w:val="21"/>
                <w:highlight w:val="none"/>
              </w:rPr>
              <w:t>中选候选人。综合评分相等时，以比选申请报价低的优选；比选申请报价也相等时，以技术得分高的优先；如果技术得分也相等，以有利于比选人的原则推荐。</w:t>
            </w:r>
          </w:p>
        </w:tc>
      </w:tr>
    </w:tbl>
    <w:p>
      <w:pPr>
        <w:spacing w:line="400" w:lineRule="exact"/>
        <w:ind w:firstLine="420"/>
        <w:rPr>
          <w:rFonts w:ascii="宋体" w:hAnsi="宋体" w:cs="宋体"/>
          <w:color w:val="auto"/>
          <w:highlight w:val="none"/>
        </w:rPr>
      </w:pPr>
    </w:p>
    <w:p>
      <w:pPr>
        <w:spacing w:after="160" w:line="259" w:lineRule="auto"/>
        <w:rPr>
          <w:rFonts w:ascii="宋体" w:hAnsi="宋体" w:cs="宋体"/>
          <w:color w:val="auto"/>
          <w:highlight w:val="none"/>
        </w:rPr>
      </w:pPr>
      <w:r>
        <w:rPr>
          <w:rFonts w:hint="eastAsia" w:ascii="宋体" w:hAnsi="宋体" w:cs="宋体"/>
          <w:color w:val="auto"/>
          <w:highlight w:val="none"/>
        </w:rPr>
        <w:br w:type="page"/>
      </w:r>
    </w:p>
    <w:p>
      <w:pPr>
        <w:pStyle w:val="5"/>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评审办法正文</w:t>
      </w:r>
    </w:p>
    <w:p>
      <w:pPr>
        <w:pStyle w:val="5"/>
        <w:rPr>
          <w:rFonts w:ascii="宋体" w:hAnsi="宋体" w:eastAsia="宋体" w:cs="宋体"/>
          <w:color w:val="auto"/>
          <w:highlight w:val="none"/>
        </w:rPr>
      </w:pPr>
      <w:r>
        <w:rPr>
          <w:rFonts w:hint="eastAsia" w:ascii="宋体" w:hAnsi="宋体" w:eastAsia="宋体" w:cs="宋体"/>
          <w:color w:val="auto"/>
          <w:highlight w:val="none"/>
        </w:rPr>
        <w:t>1. 评审方法</w:t>
      </w:r>
    </w:p>
    <w:p>
      <w:pPr>
        <w:spacing w:line="400" w:lineRule="exact"/>
        <w:ind w:firstLine="420" w:firstLineChars="200"/>
        <w:rPr>
          <w:rFonts w:ascii="宋体" w:hAnsi="宋体" w:cs="宋体"/>
          <w:color w:val="auto"/>
          <w:kern w:val="2"/>
          <w:szCs w:val="21"/>
          <w:highlight w:val="none"/>
        </w:rPr>
      </w:pPr>
      <w:r>
        <w:rPr>
          <w:rFonts w:hint="eastAsia" w:ascii="宋体" w:hAnsi="宋体" w:cs="宋体"/>
          <w:color w:val="auto"/>
          <w:kern w:val="2"/>
          <w:szCs w:val="21"/>
          <w:highlight w:val="none"/>
        </w:rPr>
        <w:t>本次评审采用综合评估法，单信封形式。评审委员会对满足比选文件实质性要求的比选申请文件，根据本章前附表第2.2款规定的评分标准进行打分，并按得分由高到低顺序推荐中选候选人。综合评分相等时，以比选申请报价低的优选；比选申请报价也相等时，以技术得分高的优先；如果技术得分也相等，按照评审办法前附表的规定确定中选候选人顺序。</w:t>
      </w:r>
    </w:p>
    <w:p>
      <w:pPr>
        <w:pStyle w:val="5"/>
        <w:rPr>
          <w:rFonts w:ascii="宋体" w:hAnsi="宋体" w:eastAsia="宋体" w:cs="宋体"/>
          <w:color w:val="auto"/>
          <w:highlight w:val="none"/>
        </w:rPr>
      </w:pPr>
      <w:r>
        <w:rPr>
          <w:rFonts w:hint="eastAsia" w:ascii="宋体" w:hAnsi="宋体" w:eastAsia="宋体" w:cs="宋体"/>
          <w:color w:val="auto"/>
          <w:highlight w:val="none"/>
        </w:rPr>
        <w:t>2. 评审标准</w:t>
      </w: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t>2.1 初步评审标准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2.1.1 形式评审标准：见评审办法前附表。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2.1.2 资格评审标准：见评审办法前附表。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2.1.3 响应性评审标准：见评审办法前附表。</w:t>
      </w: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t>2.2 分值构成与评分标准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2.2.1 分值构成</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（1）商务部分：见评审办法前附表；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（2）技术部分：见评审办法前附表；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（3）投标报价：见评审办法前附表；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（4）其他评分因素：见评审办法前附表。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 评标基准价计算</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评审基准价计算方法：见评审办法前附表。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2.2.3 比选申请报价的偏差率计算</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比选申请报价的偏差率计算公式：见评审办法前附表。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2.2.4 评分标准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（1）商务评分标准：见评审办法前附表；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（2）技术评分标准：见评审办法前附表；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（3）投标报价评分标准：见评审办法前附表；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（4）其他因素评分标准：见评审办法前附表。</w:t>
      </w:r>
    </w:p>
    <w:p>
      <w:pPr>
        <w:pStyle w:val="5"/>
        <w:rPr>
          <w:rFonts w:ascii="宋体" w:hAnsi="宋体" w:eastAsia="宋体" w:cs="宋体"/>
          <w:color w:val="auto"/>
          <w:highlight w:val="none"/>
        </w:rPr>
      </w:pPr>
      <w:r>
        <w:rPr>
          <w:rFonts w:hint="eastAsia" w:ascii="宋体" w:hAnsi="宋体" w:eastAsia="宋体" w:cs="宋体"/>
          <w:color w:val="auto"/>
          <w:highlight w:val="none"/>
        </w:rPr>
        <w:t>3. 评审程序</w:t>
      </w: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t>3.1 初步评审</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 评审委员会可以要求比选申请人提交第二章“比选申请人须知”规定的有关证明和证件的原件，以便核验。评审委员会依据本章第 2.1 款规定的标准对比选申请文件进行初步评审。有一项不符合评审标准的，评审委员会应当否决其比选申请。</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3.1.2 比选申请人有以下情形之一的，评审委员会应当否决其比选申请：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（1）比选申请文件没有对比选文件的实质性要求和条件作出响应.或者对比选文件的偏差超出比选文件规定的偏差范围或最高项数；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（2）有串通比选申请、弄虚作假、行贿等违法行为。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3.1.3 比选申请报价有算术错误及其他错误的，评审委员会按以下原则要求申请人对比选申请报价进行修正，并要求比选申请人书面澄清确认。比选申请人拒不澄清确认的，评审委员会应当否决其比选申请：</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（1）比选申请文件中的大写金额与小写金额不一致的，以大写金额为准；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（2）总价金额与单价金额不一致的，以单价金额为准，但单价金额小数点有明显错误的除外；</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（3）比选申请报价为各分项报价金额之和，比选申请报价与分项报价的合价不一致的，应以各分项合价累计数为准，修正比选申请报价；</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（4）如果分项报价中存在缺漏项，则视为缺漏项价格已包含在其他分项报价之中。</w:t>
      </w: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t>3.2 详细评审</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3.2.1 评审委员会按本章第2.2款规定的量化因素和分值进行打分，并计算出综合评估得分。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（1）按本章第2.2.4（1）目规定的评审因素和分值对商务部分计算出得分A；</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（2）按本章第2.2.4（2）目规定的评审因素和分值对技术部分计算出得分B；</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（3）按本章第2.2.4（3）目规定的评审因素和分值对投标报价计算出得分C；</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3.2.2 评分分值计算保留小数点后两位，小数点后第三位“四舍五入”。</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3.2.3 比选申请人得分=A+B+C</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3.2.4 评审委员会发现比选申请人的报价明显低于其他比选申请报价，使得其比选申请报价可能低于其个别成本的，应当要求比选申请人作出书面说明并提供相应的证明材料。比选申请人不能合理说明或者不能提供相应证明材料的，评审委员会应当认定该比选申请人以低于成本报价竞标，并否决其比选申请。</w:t>
      </w: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t>3.3 比选申请文件的澄清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3.3.1 在评审过程中，评审委员会可以书面形式要求比选申请人对比选申请文件中含义不明确、对同类问题表述不一致或者有明显文字和计算错误的内容作必要的澄清、说明或补正。澄清、说明或补正应以书面方式进行。评审委员会不接受比选申请人主动提出的澄清、说明或补正。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3.3.2 澄清、说明或补正不得超出比选申请文件的范围且不得改变比选申请文件的实质性内容，并构成比选申请文件的组成部分。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3.3.3 评审委员会对比选申请人提交的澄清、说明或补正有疑问的，可以要求比选申请人进一步澄清、说明或补正，直至满足评审委员会的要求。</w:t>
      </w: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t>3.4 评审结果</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3.4.1 除第二章“比选申请人须知”前附表授权直接确定中选人外，评审委员会按照评审办法前附表的规定推荐中选候选人，并标明排序。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3.4.2 评审委员会完成评审后，应当向比选人提交书面评审报告和中选候选人名单。</w:t>
      </w:r>
    </w:p>
    <w:p>
      <w:pPr>
        <w:spacing w:line="400" w:lineRule="exact"/>
        <w:ind w:firstLine="420" w:firstLineChars="200"/>
        <w:rPr>
          <w:rFonts w:ascii="宋体" w:hAnsi="宋体" w:cs="宋体"/>
          <w:color w:val="auto"/>
          <w:highlight w:val="none"/>
        </w:rPr>
      </w:pPr>
    </w:p>
    <w:p>
      <w:pPr>
        <w:pStyle w:val="4"/>
        <w:jc w:val="center"/>
        <w:rPr>
          <w:rFonts w:ascii="宋体" w:hAnsi="宋体" w:eastAsia="宋体" w:cs="宋体"/>
          <w:b/>
          <w:bCs/>
          <w:color w:val="auto"/>
          <w:sz w:val="36"/>
          <w:szCs w:val="36"/>
          <w:highlight w:val="none"/>
        </w:rPr>
      </w:pPr>
      <w:r>
        <w:rPr>
          <w:rFonts w:hint="eastAsia" w:ascii="宋体" w:hAnsi="宋体" w:eastAsia="宋体" w:cs="宋体"/>
          <w:color w:val="auto"/>
          <w:highlight w:val="none"/>
        </w:rPr>
        <w:br w:type="page"/>
      </w:r>
      <w:bookmarkStart w:id="163" w:name="_Toc8162"/>
      <w:bookmarkStart w:id="164" w:name="_Toc25333"/>
      <w:r>
        <w:rPr>
          <w:rFonts w:hint="eastAsia" w:ascii="宋体" w:hAnsi="宋体" w:eastAsia="宋体" w:cs="宋体"/>
          <w:b/>
          <w:bCs/>
          <w:color w:val="auto"/>
          <w:sz w:val="36"/>
          <w:szCs w:val="36"/>
          <w:highlight w:val="none"/>
        </w:rPr>
        <w:t>第四章 合同条款及格式</w:t>
      </w:r>
      <w:bookmarkEnd w:id="163"/>
      <w:bookmarkEnd w:id="164"/>
    </w:p>
    <w:p>
      <w:pPr>
        <w:pStyle w:val="5"/>
        <w:ind w:left="0" w:firstLine="0"/>
        <w:rPr>
          <w:rFonts w:ascii="宋体" w:hAnsi="宋体" w:eastAsia="宋体" w:cs="宋体"/>
          <w:color w:val="auto"/>
          <w:sz w:val="32"/>
          <w:szCs w:val="32"/>
          <w:highlight w:val="none"/>
        </w:rPr>
      </w:pPr>
      <w:r>
        <w:rPr>
          <w:rFonts w:hint="eastAsia" w:ascii="宋体" w:hAnsi="宋体" w:eastAsia="宋体" w:cs="宋体"/>
          <w:color w:val="auto"/>
          <w:highlight w:val="none"/>
        </w:rPr>
        <w:br w:type="page"/>
      </w:r>
      <w:bookmarkStart w:id="165" w:name="_Toc179632785"/>
      <w:bookmarkStart w:id="166" w:name="_Toc144974826"/>
      <w:bookmarkStart w:id="167" w:name="_Toc152045767"/>
      <w:bookmarkStart w:id="168" w:name="_Toc152042546"/>
      <w:bookmarkStart w:id="169" w:name="_Toc247527798"/>
      <w:bookmarkStart w:id="170" w:name="_Toc144974578"/>
      <w:bookmarkStart w:id="171" w:name="_Toc184635122"/>
      <w:bookmarkStart w:id="172" w:name="_Toc300835199"/>
      <w:bookmarkStart w:id="173" w:name="_Toc152042388"/>
      <w:bookmarkStart w:id="174" w:name="_Toc152045610"/>
      <w:bookmarkStart w:id="175" w:name="_Toc247514197"/>
      <w:r>
        <w:rPr>
          <w:rFonts w:hint="eastAsia" w:ascii="宋体" w:hAnsi="宋体" w:eastAsia="宋体" w:cs="宋体"/>
          <w:color w:val="auto"/>
          <w:sz w:val="32"/>
          <w:szCs w:val="32"/>
          <w:highlight w:val="none"/>
        </w:rPr>
        <w:t>第一节 通用合同条款</w:t>
      </w:r>
    </w:p>
    <w:p>
      <w:pPr>
        <w:rPr>
          <w:color w:val="auto"/>
          <w:highlight w:val="none"/>
        </w:rPr>
      </w:pPr>
    </w:p>
    <w:p>
      <w:pPr>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本通用条款另见中华人民共和国《标准设备招标文件》（2017年版）由申请人自行购买。</w:t>
      </w:r>
    </w:p>
    <w:p>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pPr>
        <w:pStyle w:val="5"/>
        <w:ind w:left="0" w:firstLine="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第二节 专用合同条款</w:t>
      </w:r>
    </w:p>
    <w:p>
      <w:pPr>
        <w:pStyle w:val="5"/>
        <w:jc w:val="left"/>
        <w:rPr>
          <w:rFonts w:ascii="宋体" w:hAnsi="宋体" w:eastAsia="宋体" w:cs="宋体"/>
          <w:color w:val="auto"/>
          <w:highlight w:val="none"/>
        </w:rPr>
      </w:pPr>
      <w:r>
        <w:rPr>
          <w:rFonts w:hint="eastAsia" w:ascii="宋体" w:hAnsi="宋体" w:eastAsia="宋体" w:cs="宋体"/>
          <w:color w:val="auto"/>
          <w:highlight w:val="none"/>
        </w:rPr>
        <w:t>1.一般约定</w:t>
      </w: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t>1.1词语定义</w:t>
      </w:r>
    </w:p>
    <w:p>
      <w:pPr>
        <w:ind w:firstLine="420"/>
        <w:rPr>
          <w:rFonts w:ascii="宋体" w:hAnsi="宋体" w:cs="宋体"/>
          <w:color w:val="auto"/>
          <w:highlight w:val="none"/>
        </w:rPr>
      </w:pPr>
      <w:r>
        <w:rPr>
          <w:rFonts w:hint="eastAsia" w:ascii="宋体" w:hAnsi="宋体" w:cs="宋体"/>
          <w:color w:val="auto"/>
          <w:highlight w:val="none"/>
        </w:rPr>
        <w:t>1.1.1 合同</w:t>
      </w:r>
    </w:p>
    <w:p>
      <w:pPr>
        <w:ind w:firstLine="420"/>
        <w:rPr>
          <w:rFonts w:ascii="宋体" w:hAnsi="宋体" w:cs="宋体"/>
          <w:color w:val="auto"/>
          <w:highlight w:val="none"/>
        </w:rPr>
      </w:pPr>
      <w:r>
        <w:rPr>
          <w:rFonts w:hint="eastAsia" w:ascii="宋体" w:hAnsi="宋体" w:cs="宋体"/>
          <w:color w:val="auto"/>
          <w:highlight w:val="none"/>
        </w:rPr>
        <w:t>1.1.1.1 “合同”指合同条款、技术规范、供货要求、图纸、供货清单、比选申请文件、中选通知书、合同协议书，以及有可能明确加在中选通知书或合同协议书之内的这些补充文件。</w:t>
      </w:r>
    </w:p>
    <w:p>
      <w:pPr>
        <w:ind w:firstLine="420"/>
        <w:rPr>
          <w:rFonts w:ascii="宋体" w:hAnsi="宋体" w:cs="宋体"/>
          <w:color w:val="auto"/>
          <w:highlight w:val="none"/>
        </w:rPr>
      </w:pPr>
      <w:r>
        <w:rPr>
          <w:rFonts w:hint="eastAsia" w:ascii="宋体" w:hAnsi="宋体" w:cs="宋体"/>
          <w:color w:val="auto"/>
          <w:highlight w:val="none"/>
        </w:rPr>
        <w:t>1.1.1.5 商务和技术偏差表：本款不适用</w:t>
      </w:r>
    </w:p>
    <w:p>
      <w:pPr>
        <w:ind w:firstLine="420" w:firstLineChars="200"/>
        <w:rPr>
          <w:rFonts w:ascii="宋体" w:hAnsi="宋体" w:cs="宋体"/>
          <w:color w:val="auto"/>
          <w:highlight w:val="none"/>
        </w:rPr>
      </w:pPr>
      <w:r>
        <w:rPr>
          <w:rFonts w:hint="eastAsia" w:ascii="宋体" w:hAnsi="宋体" w:cs="宋体"/>
          <w:color w:val="auto"/>
          <w:highlight w:val="none"/>
        </w:rPr>
        <w:t>补充1.1.17款：</w:t>
      </w:r>
    </w:p>
    <w:p>
      <w:pPr>
        <w:ind w:firstLine="420" w:firstLineChars="200"/>
        <w:rPr>
          <w:rFonts w:ascii="宋体" w:hAnsi="宋体" w:cs="宋体"/>
          <w:color w:val="auto"/>
          <w:highlight w:val="none"/>
        </w:rPr>
      </w:pPr>
      <w:r>
        <w:rPr>
          <w:rFonts w:hint="eastAsia" w:ascii="宋体" w:hAnsi="宋体" w:cs="宋体"/>
          <w:color w:val="auto"/>
          <w:highlight w:val="none"/>
        </w:rPr>
        <w:t>1.1.17 “供货期”是指按有关合同条款的规定，完成全部设备供货的时间，预计供货期（分期分批供货）为1个月。</w:t>
      </w: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t>1.3合同文件的优先顺序</w:t>
      </w:r>
    </w:p>
    <w:p>
      <w:pPr>
        <w:ind w:firstLine="420"/>
        <w:rPr>
          <w:rFonts w:ascii="宋体" w:hAnsi="宋体" w:cs="宋体"/>
          <w:color w:val="auto"/>
          <w:highlight w:val="none"/>
        </w:rPr>
      </w:pPr>
      <w:r>
        <w:rPr>
          <w:rFonts w:hint="eastAsia" w:ascii="宋体" w:hAnsi="宋体" w:cs="宋体"/>
          <w:color w:val="auto"/>
          <w:highlight w:val="none"/>
        </w:rPr>
        <w:t>本款细化为：</w:t>
      </w:r>
    </w:p>
    <w:p>
      <w:pPr>
        <w:ind w:firstLine="420"/>
        <w:rPr>
          <w:rFonts w:ascii="宋体" w:hAnsi="宋体" w:cs="宋体"/>
          <w:color w:val="auto"/>
          <w:highlight w:val="none"/>
        </w:rPr>
      </w:pPr>
      <w:r>
        <w:rPr>
          <w:rFonts w:hint="eastAsia" w:ascii="宋体" w:hAnsi="宋体" w:cs="宋体"/>
          <w:color w:val="auto"/>
          <w:highlight w:val="none"/>
        </w:rPr>
        <w:t>组成合同的各项文件应互相解释，互为说明。除专用合同条款另有约定外，解释合同文件的优先顺序如下，相同性质的文件，以形成时间在后的为准：</w:t>
      </w:r>
    </w:p>
    <w:p>
      <w:pPr>
        <w:ind w:firstLine="420"/>
        <w:rPr>
          <w:rFonts w:ascii="宋体" w:hAnsi="宋体" w:cs="宋体"/>
          <w:color w:val="auto"/>
          <w:highlight w:val="none"/>
        </w:rPr>
      </w:pPr>
      <w:r>
        <w:rPr>
          <w:rFonts w:hint="eastAsia" w:ascii="宋体" w:hAnsi="宋体" w:cs="宋体"/>
          <w:color w:val="auto"/>
          <w:highlight w:val="none"/>
        </w:rPr>
        <w:t>（1）本合同协议书及各种合同附件；</w:t>
      </w:r>
    </w:p>
    <w:p>
      <w:pPr>
        <w:ind w:firstLine="420"/>
        <w:rPr>
          <w:rFonts w:ascii="宋体" w:hAnsi="宋体" w:cs="宋体"/>
          <w:color w:val="auto"/>
          <w:highlight w:val="none"/>
        </w:rPr>
      </w:pPr>
      <w:r>
        <w:rPr>
          <w:rFonts w:hint="eastAsia" w:ascii="宋体" w:hAnsi="宋体" w:cs="宋体"/>
          <w:color w:val="auto"/>
          <w:highlight w:val="none"/>
        </w:rPr>
        <w:t>（2）中选通知书及补遗书；</w:t>
      </w:r>
    </w:p>
    <w:p>
      <w:pPr>
        <w:ind w:firstLine="420"/>
        <w:rPr>
          <w:rFonts w:ascii="宋体" w:hAnsi="宋体" w:cs="宋体"/>
          <w:color w:val="auto"/>
          <w:highlight w:val="none"/>
        </w:rPr>
      </w:pPr>
      <w:r>
        <w:rPr>
          <w:rFonts w:hint="eastAsia" w:ascii="宋体" w:hAnsi="宋体" w:cs="宋体"/>
          <w:color w:val="auto"/>
          <w:highlight w:val="none"/>
        </w:rPr>
        <w:t>（3）比选申请函；</w:t>
      </w:r>
    </w:p>
    <w:p>
      <w:pPr>
        <w:ind w:firstLine="420"/>
        <w:rPr>
          <w:rFonts w:ascii="宋体" w:hAnsi="宋体" w:cs="宋体"/>
          <w:color w:val="auto"/>
          <w:highlight w:val="none"/>
        </w:rPr>
      </w:pPr>
      <w:r>
        <w:rPr>
          <w:rFonts w:hint="eastAsia" w:ascii="宋体" w:hAnsi="宋体" w:cs="宋体"/>
          <w:color w:val="auto"/>
          <w:highlight w:val="none"/>
        </w:rPr>
        <w:t>（4）专用合同条款；</w:t>
      </w:r>
    </w:p>
    <w:p>
      <w:pPr>
        <w:ind w:firstLine="420"/>
        <w:rPr>
          <w:rFonts w:ascii="宋体" w:hAnsi="宋体" w:cs="宋体"/>
          <w:color w:val="auto"/>
          <w:highlight w:val="none"/>
        </w:rPr>
      </w:pPr>
      <w:r>
        <w:rPr>
          <w:rFonts w:hint="eastAsia" w:ascii="宋体" w:hAnsi="宋体" w:cs="宋体"/>
          <w:color w:val="auto"/>
          <w:highlight w:val="none"/>
        </w:rPr>
        <w:t>（5）通用合同条款；</w:t>
      </w:r>
    </w:p>
    <w:p>
      <w:pPr>
        <w:ind w:firstLine="420"/>
        <w:rPr>
          <w:rFonts w:ascii="宋体" w:hAnsi="宋体" w:cs="宋体"/>
          <w:color w:val="auto"/>
          <w:highlight w:val="none"/>
        </w:rPr>
      </w:pPr>
      <w:r>
        <w:rPr>
          <w:rFonts w:hint="eastAsia" w:ascii="宋体" w:hAnsi="宋体" w:cs="宋体"/>
          <w:color w:val="auto"/>
          <w:highlight w:val="none"/>
        </w:rPr>
        <w:t>（6）供货要求；</w:t>
      </w:r>
    </w:p>
    <w:p>
      <w:pPr>
        <w:ind w:firstLine="420"/>
        <w:rPr>
          <w:rFonts w:ascii="宋体" w:hAnsi="宋体" w:cs="宋体"/>
          <w:color w:val="auto"/>
          <w:highlight w:val="none"/>
        </w:rPr>
      </w:pPr>
      <w:r>
        <w:rPr>
          <w:rFonts w:hint="eastAsia" w:ascii="宋体" w:hAnsi="宋体" w:cs="宋体"/>
          <w:color w:val="auto"/>
          <w:highlight w:val="none"/>
        </w:rPr>
        <w:t>（7）分项报价表（含分项报价表说明）；</w:t>
      </w:r>
    </w:p>
    <w:p>
      <w:pPr>
        <w:ind w:firstLine="420"/>
        <w:rPr>
          <w:rFonts w:ascii="宋体" w:hAnsi="宋体" w:cs="宋体"/>
          <w:color w:val="auto"/>
          <w:highlight w:val="none"/>
        </w:rPr>
      </w:pPr>
      <w:r>
        <w:rPr>
          <w:rFonts w:hint="eastAsia" w:ascii="宋体" w:hAnsi="宋体" w:cs="宋体"/>
          <w:color w:val="auto"/>
          <w:highlight w:val="none"/>
        </w:rPr>
        <w:t>（8）中选设备技术性能指标的详细描述；</w:t>
      </w:r>
    </w:p>
    <w:p>
      <w:pPr>
        <w:ind w:firstLine="420"/>
        <w:rPr>
          <w:rFonts w:ascii="宋体" w:hAnsi="宋体" w:cs="宋体"/>
          <w:color w:val="auto"/>
          <w:highlight w:val="none"/>
        </w:rPr>
      </w:pPr>
      <w:r>
        <w:rPr>
          <w:rFonts w:hint="eastAsia" w:ascii="宋体" w:hAnsi="宋体" w:cs="宋体"/>
          <w:color w:val="auto"/>
          <w:highlight w:val="none"/>
        </w:rPr>
        <w:t>（9）技术服务和质保期服务计划；</w:t>
      </w:r>
    </w:p>
    <w:p>
      <w:pPr>
        <w:ind w:firstLine="420"/>
        <w:rPr>
          <w:rFonts w:ascii="宋体" w:hAnsi="宋体" w:cs="宋体"/>
          <w:color w:val="auto"/>
          <w:highlight w:val="none"/>
        </w:rPr>
      </w:pPr>
      <w:r>
        <w:rPr>
          <w:rFonts w:hint="eastAsia" w:ascii="宋体" w:hAnsi="宋体" w:cs="宋体"/>
          <w:color w:val="auto"/>
          <w:highlight w:val="none"/>
        </w:rPr>
        <w:t>（10）构成合同文件的其他任何文件</w:t>
      </w: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t>1.6联合体</w:t>
      </w:r>
    </w:p>
    <w:p>
      <w:pPr>
        <w:ind w:firstLine="420"/>
        <w:rPr>
          <w:rFonts w:ascii="宋体" w:hAnsi="宋体" w:cs="宋体"/>
          <w:color w:val="auto"/>
          <w:highlight w:val="none"/>
        </w:rPr>
      </w:pPr>
      <w:r>
        <w:rPr>
          <w:rFonts w:hint="eastAsia" w:ascii="宋体" w:hAnsi="宋体" w:cs="宋体"/>
          <w:color w:val="auto"/>
          <w:highlight w:val="none"/>
        </w:rPr>
        <w:t>本项目不允许联合体形式。</w:t>
      </w: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t>8. 质量保证期</w:t>
      </w:r>
    </w:p>
    <w:p>
      <w:pPr>
        <w:ind w:firstLine="422" w:firstLineChars="200"/>
        <w:rPr>
          <w:rFonts w:ascii="宋体" w:hAnsi="宋体" w:cs="宋体"/>
          <w:color w:val="auto"/>
          <w:highlight w:val="none"/>
        </w:rPr>
      </w:pPr>
      <w:r>
        <w:rPr>
          <w:rFonts w:hint="eastAsia" w:ascii="宋体" w:hAnsi="宋体" w:cs="宋体"/>
          <w:b/>
          <w:color w:val="auto"/>
          <w:highlight w:val="none"/>
        </w:rPr>
        <w:t>8.1 本款细化为：</w:t>
      </w:r>
      <w:r>
        <w:rPr>
          <w:rFonts w:hint="eastAsia" w:ascii="宋体" w:hAnsi="宋体" w:cs="宋体"/>
          <w:color w:val="auto"/>
          <w:highlight w:val="none"/>
        </w:rPr>
        <w:t>质量保证期的起算时间：所供应设备完成安装调试，通过完工验收之日起算。该期限不低于36个月。</w:t>
      </w: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t>12 知识产权</w:t>
      </w:r>
    </w:p>
    <w:p>
      <w:pPr>
        <w:ind w:firstLine="420"/>
        <w:rPr>
          <w:rFonts w:ascii="宋体" w:hAnsi="宋体" w:cs="宋体"/>
          <w:color w:val="auto"/>
          <w:highlight w:val="none"/>
        </w:rPr>
      </w:pPr>
      <w:r>
        <w:rPr>
          <w:rFonts w:hint="eastAsia" w:ascii="宋体" w:hAnsi="宋体" w:cs="宋体"/>
          <w:color w:val="auto"/>
          <w:highlight w:val="none"/>
        </w:rPr>
        <w:t>补充12.5款</w:t>
      </w:r>
    </w:p>
    <w:p>
      <w:pPr>
        <w:ind w:firstLine="420"/>
        <w:rPr>
          <w:rFonts w:ascii="宋体" w:hAnsi="宋体" w:cs="宋体"/>
          <w:color w:val="auto"/>
          <w:highlight w:val="none"/>
        </w:rPr>
      </w:pPr>
      <w:r>
        <w:rPr>
          <w:rFonts w:hint="eastAsia" w:ascii="宋体" w:hAnsi="宋体" w:cs="宋体"/>
          <w:color w:val="auto"/>
          <w:highlight w:val="none"/>
        </w:rPr>
        <w:t>12.5 卖方须保障买方在中华人民共和国使用其设备、服务及其任何部分而不受到第三方关于侵犯专利权、商标权或工业设计权的指控。任何第三方如果提出侵权指控，卖方须与第三方交涉并承担可能发生的一切法律和费用责任。买方将保留由此而造成经济损失的索赔权利和解除合同的权利。</w:t>
      </w: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t>17 争议的解决</w:t>
      </w:r>
    </w:p>
    <w:p>
      <w:pPr>
        <w:spacing w:after="160"/>
        <w:ind w:firstLine="420"/>
        <w:rPr>
          <w:rFonts w:ascii="宋体" w:hAnsi="宋体" w:cs="宋体"/>
          <w:color w:val="auto"/>
          <w:highlight w:val="none"/>
        </w:rPr>
      </w:pPr>
      <w:r>
        <w:rPr>
          <w:rFonts w:hint="eastAsia" w:ascii="宋体" w:hAnsi="宋体" w:cs="宋体"/>
          <w:color w:val="auto"/>
          <w:highlight w:val="none"/>
        </w:rPr>
        <w:t>（1）无论在否定和终止本合同之前或之后，如果买方与卖方之间关于合同的任何争端，首先应设法对争议进行友好协商或调解。</w:t>
      </w:r>
    </w:p>
    <w:p>
      <w:pPr>
        <w:spacing w:after="160"/>
        <w:ind w:firstLine="420"/>
        <w:rPr>
          <w:rFonts w:ascii="宋体" w:hAnsi="宋体" w:cs="宋体"/>
          <w:color w:val="auto"/>
          <w:highlight w:val="none"/>
        </w:rPr>
      </w:pPr>
      <w:r>
        <w:rPr>
          <w:rFonts w:hint="eastAsia" w:ascii="宋体" w:hAnsi="宋体" w:cs="宋体"/>
          <w:color w:val="auto"/>
          <w:highlight w:val="none"/>
        </w:rPr>
        <w:t>（2）若经过协商或调解仍不能达成一致时，此争执采用诉讼方式解决，诉讼机构为买方公司注册住所地具有管辖权限的人民法院。</w:t>
      </w:r>
      <w:r>
        <w:rPr>
          <w:rFonts w:hint="eastAsia" w:ascii="宋体" w:hAnsi="宋体" w:cs="宋体"/>
          <w:color w:val="auto"/>
          <w:highlight w:val="none"/>
        </w:rPr>
        <w:br w:type="page"/>
      </w:r>
    </w:p>
    <w:p>
      <w:pPr>
        <w:pStyle w:val="5"/>
        <w:rPr>
          <w:rFonts w:ascii="宋体" w:hAnsi="宋体" w:eastAsia="宋体" w:cs="宋体"/>
          <w:color w:val="auto"/>
          <w:sz w:val="32"/>
          <w:szCs w:val="32"/>
          <w:highlight w:val="none"/>
        </w:rPr>
      </w:pPr>
      <w:bookmarkStart w:id="176" w:name="_Toc246996319"/>
      <w:bookmarkEnd w:id="176"/>
      <w:bookmarkStart w:id="177" w:name="_Toc296602565"/>
      <w:bookmarkEnd w:id="177"/>
      <w:bookmarkStart w:id="178" w:name="_Toc247085834"/>
      <w:bookmarkEnd w:id="178"/>
      <w:bookmarkStart w:id="179" w:name="_Toc184635117"/>
      <w:bookmarkEnd w:id="179"/>
      <w:bookmarkStart w:id="180" w:name="_Toc369531676"/>
      <w:bookmarkEnd w:id="180"/>
      <w:bookmarkStart w:id="181" w:name="_Toc369531675"/>
      <w:bookmarkEnd w:id="181"/>
      <w:bookmarkStart w:id="182" w:name="_Toc29298"/>
      <w:bookmarkEnd w:id="182"/>
      <w:bookmarkStart w:id="183" w:name="_Toc9766"/>
      <w:bookmarkEnd w:id="183"/>
      <w:bookmarkStart w:id="184" w:name="_Toc246997062"/>
      <w:bookmarkEnd w:id="184"/>
      <w:r>
        <w:rPr>
          <w:rFonts w:hint="eastAsia" w:ascii="宋体" w:hAnsi="宋体" w:eastAsia="宋体" w:cs="宋体"/>
          <w:color w:val="auto"/>
          <w:sz w:val="32"/>
          <w:szCs w:val="32"/>
          <w:highlight w:val="none"/>
        </w:rPr>
        <w:t>第三节  合同附件格式</w:t>
      </w: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附件一：合同协议书</w:t>
      </w:r>
    </w:p>
    <w:p>
      <w:pPr>
        <w:spacing w:line="400" w:lineRule="exact"/>
        <w:ind w:firstLine="420"/>
        <w:rPr>
          <w:rFonts w:ascii="宋体" w:hAnsi="宋体" w:cs="宋体"/>
          <w:color w:val="auto"/>
          <w:highlight w:val="none"/>
        </w:rPr>
      </w:pPr>
    </w:p>
    <w:p>
      <w:pPr>
        <w:jc w:val="center"/>
        <w:rPr>
          <w:rFonts w:ascii="宋体" w:hAnsi="宋体" w:cs="宋体"/>
          <w:b/>
          <w:color w:val="auto"/>
          <w:sz w:val="30"/>
          <w:highlight w:val="none"/>
        </w:rPr>
      </w:pPr>
      <w:r>
        <w:rPr>
          <w:rFonts w:hint="eastAsia" w:ascii="宋体" w:hAnsi="宋体" w:cs="宋体"/>
          <w:b/>
          <w:color w:val="auto"/>
          <w:sz w:val="30"/>
          <w:highlight w:val="none"/>
        </w:rPr>
        <w:t>四川智慧高速科技有限公司</w:t>
      </w:r>
    </w:p>
    <w:p>
      <w:pPr>
        <w:jc w:val="center"/>
        <w:rPr>
          <w:rFonts w:ascii="宋体" w:hAnsi="宋体" w:cs="宋体"/>
          <w:b/>
          <w:color w:val="auto"/>
          <w:sz w:val="32"/>
          <w:highlight w:val="none"/>
        </w:rPr>
      </w:pPr>
      <w:r>
        <w:rPr>
          <w:rFonts w:hint="eastAsia" w:ascii="宋体" w:hAnsi="宋体" w:cs="宋体"/>
          <w:b/>
          <w:color w:val="auto"/>
          <w:sz w:val="30"/>
          <w:highlight w:val="none"/>
        </w:rPr>
        <w:t>采购合同</w:t>
      </w:r>
    </w:p>
    <w:p>
      <w:pPr>
        <w:rPr>
          <w:rFonts w:ascii="宋体" w:hAnsi="宋体" w:cs="宋体"/>
          <w:color w:val="auto"/>
          <w:highlight w:val="none"/>
        </w:rPr>
      </w:pPr>
      <w:r>
        <w:rPr>
          <w:rFonts w:hint="eastAsia" w:ascii="宋体" w:hAnsi="宋体" w:cs="宋体"/>
          <w:color w:val="auto"/>
          <w:highlight w:val="none"/>
        </w:rPr>
        <w:t xml:space="preserve">                                                                    合同编号：000</w:t>
      </w:r>
    </w:p>
    <w:p>
      <w:pPr>
        <w:spacing w:line="440" w:lineRule="atLeast"/>
        <w:rPr>
          <w:rFonts w:ascii="宋体" w:hAnsi="宋体" w:cs="宋体"/>
          <w:color w:val="auto"/>
          <w:highlight w:val="none"/>
          <w:u w:val="single"/>
        </w:rPr>
      </w:pPr>
      <w:r>
        <w:rPr>
          <w:rFonts w:hint="eastAsia" w:ascii="宋体" w:hAnsi="宋体" w:cs="宋体"/>
          <w:color w:val="auto"/>
          <w:highlight w:val="none"/>
        </w:rPr>
        <w:t>购货单位（甲方）：四川智慧高速科技有限公司</w:t>
      </w:r>
    </w:p>
    <w:p>
      <w:pPr>
        <w:spacing w:line="440" w:lineRule="atLeast"/>
        <w:rPr>
          <w:rFonts w:ascii="宋体" w:hAnsi="宋体" w:cs="宋体"/>
          <w:color w:val="auto"/>
          <w:highlight w:val="none"/>
        </w:rPr>
      </w:pPr>
      <w:r>
        <w:rPr>
          <w:rFonts w:hint="eastAsia" w:ascii="宋体" w:hAnsi="宋体" w:cs="宋体"/>
          <w:color w:val="auto"/>
          <w:highlight w:val="none"/>
        </w:rPr>
        <w:t>供货单位（乙方）： XXXXXXXXXXXXXXXXXX</w:t>
      </w:r>
    </w:p>
    <w:p>
      <w:pPr>
        <w:spacing w:line="240" w:lineRule="auto"/>
        <w:rPr>
          <w:rFonts w:ascii="宋体" w:hAnsi="宋体" w:cs="宋体"/>
          <w:color w:val="auto"/>
          <w:highlight w:val="none"/>
        </w:rPr>
      </w:pPr>
    </w:p>
    <w:p>
      <w:pPr>
        <w:spacing w:line="440" w:lineRule="atLeast"/>
        <w:ind w:firstLine="420" w:firstLineChars="200"/>
        <w:rPr>
          <w:rFonts w:ascii="宋体" w:hAnsi="宋体" w:cs="宋体"/>
          <w:color w:val="auto"/>
          <w:highlight w:val="none"/>
        </w:rPr>
      </w:pPr>
      <w:r>
        <w:rPr>
          <w:rFonts w:hint="eastAsia" w:ascii="宋体" w:hAnsi="宋体" w:cs="宋体"/>
          <w:color w:val="auto"/>
          <w:highlight w:val="none"/>
        </w:rPr>
        <w:t>依照《中华人民共和国民法典》相关法律法规的规定，甲乙双方就“</w:t>
      </w:r>
      <w:r>
        <w:rPr>
          <w:rFonts w:hint="eastAsia" w:ascii="宋体" w:hAnsi="宋体" w:cs="宋体"/>
          <w:b/>
          <w:bCs/>
          <w:color w:val="auto"/>
          <w:highlight w:val="none"/>
        </w:rPr>
        <w:t>XXXXXXXXXXX项目</w:t>
      </w:r>
      <w:r>
        <w:rPr>
          <w:rFonts w:hint="eastAsia" w:ascii="宋体" w:hAnsi="宋体" w:cs="宋体"/>
          <w:color w:val="auto"/>
          <w:highlight w:val="none"/>
        </w:rPr>
        <w:t>”达成如下协议：甲方向乙购买本合同列明设备，并按下列条款签订本合同供双方遵照执行。</w:t>
      </w:r>
    </w:p>
    <w:p>
      <w:pPr>
        <w:widowControl w:val="0"/>
        <w:numPr>
          <w:ilvl w:val="0"/>
          <w:numId w:val="2"/>
        </w:numPr>
        <w:tabs>
          <w:tab w:val="left" w:pos="0"/>
          <w:tab w:val="clear" w:pos="420"/>
        </w:tabs>
        <w:adjustRightInd w:val="0"/>
        <w:spacing w:line="440" w:lineRule="atLeast"/>
        <w:jc w:val="both"/>
        <w:textAlignment w:val="baseline"/>
        <w:rPr>
          <w:rFonts w:ascii="宋体" w:hAnsi="宋体" w:cs="宋体"/>
          <w:b/>
          <w:color w:val="auto"/>
          <w:highlight w:val="none"/>
        </w:rPr>
      </w:pPr>
      <w:r>
        <w:rPr>
          <w:rFonts w:hint="eastAsia" w:ascii="宋体" w:hAnsi="宋体" w:cs="宋体"/>
          <w:b/>
          <w:color w:val="auto"/>
          <w:highlight w:val="none"/>
        </w:rPr>
        <w:t>产品及规格：</w:t>
      </w:r>
    </w:p>
    <w:tbl>
      <w:tblPr>
        <w:tblStyle w:val="37"/>
        <w:tblW w:w="9503" w:type="dxa"/>
        <w:tblInd w:w="103" w:type="dxa"/>
        <w:tblLayout w:type="autofit"/>
        <w:tblCellMar>
          <w:top w:w="0" w:type="dxa"/>
          <w:left w:w="108" w:type="dxa"/>
          <w:bottom w:w="0" w:type="dxa"/>
          <w:right w:w="108" w:type="dxa"/>
        </w:tblCellMar>
      </w:tblPr>
      <w:tblGrid>
        <w:gridCol w:w="905"/>
        <w:gridCol w:w="2502"/>
        <w:gridCol w:w="851"/>
        <w:gridCol w:w="851"/>
        <w:gridCol w:w="850"/>
        <w:gridCol w:w="1134"/>
        <w:gridCol w:w="1276"/>
        <w:gridCol w:w="1134"/>
      </w:tblGrid>
      <w:tr>
        <w:tblPrEx>
          <w:tblCellMar>
            <w:top w:w="0" w:type="dxa"/>
            <w:left w:w="108" w:type="dxa"/>
            <w:bottom w:w="0" w:type="dxa"/>
            <w:right w:w="108" w:type="dxa"/>
          </w:tblCellMar>
        </w:tblPrEx>
        <w:trPr>
          <w:trHeight w:val="481"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right="210"/>
              <w:rPr>
                <w:rFonts w:ascii="宋体" w:hAnsi="宋体" w:cs="宋体"/>
                <w:color w:val="auto"/>
                <w:szCs w:val="21"/>
                <w:highlight w:val="none"/>
              </w:rPr>
            </w:pPr>
            <w:r>
              <w:rPr>
                <w:rFonts w:hint="eastAsia" w:ascii="宋体" w:hAnsi="宋体" w:cs="宋体"/>
                <w:color w:val="auto"/>
                <w:szCs w:val="21"/>
                <w:highlight w:val="none"/>
              </w:rPr>
              <w:t>序号</w:t>
            </w: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设备材料名称及规格</w:t>
            </w: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color w:val="auto"/>
                <w:szCs w:val="21"/>
                <w:highlight w:val="none"/>
              </w:rPr>
            </w:pPr>
            <w:r>
              <w:rPr>
                <w:rFonts w:hint="eastAsia" w:ascii="宋体" w:hAnsi="宋体" w:cs="宋体"/>
                <w:color w:val="auto"/>
                <w:highlight w:val="none"/>
              </w:rPr>
              <w:t>品牌</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合价(元)</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473"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szCs w:val="24"/>
                <w:highlight w:val="none"/>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highlight w:val="none"/>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cs="宋体"/>
                <w:color w:val="auto"/>
                <w:szCs w:val="21"/>
                <w:highlight w:val="none"/>
              </w:rPr>
            </w:pPr>
          </w:p>
        </w:tc>
      </w:tr>
      <w:tr>
        <w:tblPrEx>
          <w:tblCellMar>
            <w:top w:w="0" w:type="dxa"/>
            <w:left w:w="108" w:type="dxa"/>
            <w:bottom w:w="0" w:type="dxa"/>
            <w:right w:w="108" w:type="dxa"/>
          </w:tblCellMar>
        </w:tblPrEx>
        <w:trPr>
          <w:trHeight w:val="473"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szCs w:val="24"/>
                <w:highlight w:val="none"/>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highlight w:val="none"/>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cs="宋体"/>
                <w:color w:val="auto"/>
                <w:szCs w:val="21"/>
                <w:highlight w:val="none"/>
              </w:rPr>
            </w:pPr>
          </w:p>
        </w:tc>
      </w:tr>
      <w:tr>
        <w:tblPrEx>
          <w:tblCellMar>
            <w:top w:w="0" w:type="dxa"/>
            <w:left w:w="108" w:type="dxa"/>
            <w:bottom w:w="0" w:type="dxa"/>
            <w:right w:w="108" w:type="dxa"/>
          </w:tblCellMar>
        </w:tblPrEx>
        <w:trPr>
          <w:trHeight w:val="473"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szCs w:val="24"/>
                <w:highlight w:val="none"/>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highlight w:val="none"/>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cs="宋体"/>
                <w:color w:val="auto"/>
                <w:szCs w:val="21"/>
                <w:highlight w:val="none"/>
              </w:rPr>
            </w:pPr>
          </w:p>
        </w:tc>
      </w:tr>
      <w:tr>
        <w:tblPrEx>
          <w:tblCellMar>
            <w:top w:w="0" w:type="dxa"/>
            <w:left w:w="108" w:type="dxa"/>
            <w:bottom w:w="0" w:type="dxa"/>
            <w:right w:w="108" w:type="dxa"/>
          </w:tblCellMar>
        </w:tblPrEx>
        <w:trPr>
          <w:trHeight w:val="473"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szCs w:val="24"/>
                <w:highlight w:val="none"/>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highlight w:val="none"/>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cs="宋体"/>
                <w:color w:val="auto"/>
                <w:szCs w:val="21"/>
                <w:highlight w:val="none"/>
              </w:rPr>
            </w:pPr>
          </w:p>
        </w:tc>
      </w:tr>
      <w:tr>
        <w:tblPrEx>
          <w:tblCellMar>
            <w:top w:w="0" w:type="dxa"/>
            <w:left w:w="108" w:type="dxa"/>
            <w:bottom w:w="0" w:type="dxa"/>
            <w:right w:w="108" w:type="dxa"/>
          </w:tblCellMar>
        </w:tblPrEx>
        <w:trPr>
          <w:trHeight w:val="465"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宋体" w:hAnsi="宋体" w:cs="宋体"/>
                <w:color w:val="auto"/>
                <w:sz w:val="24"/>
                <w:szCs w:val="24"/>
                <w:highlight w:val="none"/>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Cs w:val="21"/>
                <w:highlight w:val="none"/>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cs="宋体"/>
                <w:color w:val="auto"/>
                <w:szCs w:val="21"/>
                <w:highlight w:val="none"/>
              </w:rPr>
            </w:pPr>
          </w:p>
        </w:tc>
      </w:tr>
      <w:tr>
        <w:tblPrEx>
          <w:tblCellMar>
            <w:top w:w="0" w:type="dxa"/>
            <w:left w:w="108" w:type="dxa"/>
            <w:bottom w:w="0" w:type="dxa"/>
            <w:right w:w="108" w:type="dxa"/>
          </w:tblCellMar>
        </w:tblPrEx>
        <w:trPr>
          <w:trHeight w:val="490"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宋体" w:hAnsi="宋体" w:cs="宋体"/>
                <w:color w:val="auto"/>
                <w:szCs w:val="21"/>
                <w:highlight w:val="none"/>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宋体" w:hAnsi="宋体" w:cs="宋体"/>
                <w:color w:val="auto"/>
                <w:szCs w:val="21"/>
                <w:highlight w:val="none"/>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cs="宋体"/>
                <w:color w:val="auto"/>
                <w:szCs w:val="21"/>
                <w:highlight w:val="none"/>
              </w:rPr>
            </w:pPr>
          </w:p>
        </w:tc>
      </w:tr>
      <w:tr>
        <w:tblPrEx>
          <w:tblCellMar>
            <w:top w:w="0" w:type="dxa"/>
            <w:left w:w="108" w:type="dxa"/>
            <w:bottom w:w="0" w:type="dxa"/>
            <w:right w:w="108" w:type="dxa"/>
          </w:tblCellMar>
        </w:tblPrEx>
        <w:trPr>
          <w:trHeight w:val="427" w:hRule="atLeast"/>
        </w:trPr>
        <w:tc>
          <w:tcPr>
            <w:tcW w:w="9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auto"/>
                <w:szCs w:val="21"/>
                <w:highlight w:val="none"/>
              </w:rPr>
            </w:pPr>
          </w:p>
        </w:tc>
        <w:tc>
          <w:tcPr>
            <w:tcW w:w="25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rPr>
                <w:rFonts w:ascii="宋体" w:hAnsi="宋体" w:cs="宋体"/>
                <w:color w:val="auto"/>
                <w:szCs w:val="21"/>
                <w:highlight w:val="none"/>
              </w:rPr>
            </w:pPr>
            <w:r>
              <w:rPr>
                <w:rFonts w:hint="eastAsia" w:ascii="宋体" w:hAnsi="宋体" w:cs="宋体"/>
                <w:color w:val="auto"/>
                <w:szCs w:val="21"/>
                <w:highlight w:val="none"/>
              </w:rPr>
              <w:t>　合计</w:t>
            </w:r>
          </w:p>
        </w:tc>
        <w:tc>
          <w:tcPr>
            <w:tcW w:w="851" w:type="dxa"/>
            <w:tcBorders>
              <w:top w:val="single" w:color="auto" w:sz="4" w:space="0"/>
              <w:left w:val="nil"/>
              <w:bottom w:val="single" w:color="auto" w:sz="4" w:space="0"/>
              <w:right w:val="single" w:color="auto" w:sz="4" w:space="0"/>
            </w:tcBorders>
            <w:shd w:val="clear" w:color="auto" w:fill="FFFFFF"/>
            <w:vAlign w:val="center"/>
          </w:tcPr>
          <w:p>
            <w:pPr>
              <w:spacing w:line="240" w:lineRule="auto"/>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240" w:lineRule="auto"/>
              <w:jc w:val="center"/>
              <w:rPr>
                <w:rFonts w:ascii="宋体" w:hAnsi="宋体" w:cs="宋体"/>
                <w:color w:val="auto"/>
                <w:szCs w:val="21"/>
                <w:highlight w:val="none"/>
              </w:rPr>
            </w:pP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spacing w:line="240" w:lineRule="auto"/>
              <w:jc w:val="center"/>
              <w:rPr>
                <w:rFonts w:ascii="宋体" w:hAnsi="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auto"/>
                <w:szCs w:val="21"/>
                <w:highlight w:val="none"/>
              </w:rPr>
            </w:pPr>
            <w:r>
              <w:rPr>
                <w:rFonts w:hint="eastAsia" w:ascii="宋体" w:hAnsi="宋体" w:cs="宋体"/>
                <w:color w:val="auto"/>
                <w:szCs w:val="21"/>
                <w:highlight w:val="none"/>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auto"/>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auto"/>
                <w:szCs w:val="21"/>
                <w:highlight w:val="none"/>
              </w:rPr>
            </w:pPr>
          </w:p>
        </w:tc>
      </w:tr>
    </w:tbl>
    <w:p>
      <w:pPr>
        <w:spacing w:line="360" w:lineRule="atLeast"/>
        <w:rPr>
          <w:rFonts w:ascii="宋体" w:hAnsi="宋体" w:cs="宋体"/>
          <w:color w:val="auto"/>
          <w:highlight w:val="none"/>
        </w:rPr>
      </w:pPr>
      <w:r>
        <w:rPr>
          <w:rFonts w:hint="eastAsia" w:ascii="宋体" w:hAnsi="宋体" w:cs="宋体"/>
          <w:color w:val="auto"/>
          <w:highlight w:val="none"/>
        </w:rPr>
        <w:t>注：以上价款含设备费、税金、运杂费及本合同明示或暗示的乙方为履行本合同所产生的所有费用。</w:t>
      </w:r>
    </w:p>
    <w:p>
      <w:pPr>
        <w:spacing w:line="440" w:lineRule="atLeast"/>
        <w:ind w:firstLine="420" w:firstLineChars="200"/>
        <w:rPr>
          <w:rFonts w:ascii="宋体" w:hAnsi="宋体" w:cs="宋体"/>
          <w:color w:val="auto"/>
          <w:highlight w:val="none"/>
        </w:rPr>
      </w:pPr>
      <w:r>
        <w:rPr>
          <w:rFonts w:hint="eastAsia" w:ascii="宋体" w:hAnsi="宋体" w:cs="宋体"/>
          <w:color w:val="auto"/>
          <w:highlight w:val="none"/>
        </w:rPr>
        <w:t>合同金额：（大写）</w:t>
      </w:r>
      <w:r>
        <w:rPr>
          <w:rFonts w:hint="eastAsia" w:ascii="宋体" w:hAnsi="宋体" w:cs="宋体"/>
          <w:color w:val="auto"/>
          <w:highlight w:val="none"/>
          <w:u w:val="single"/>
        </w:rPr>
        <w:t xml:space="preserve"> XXXX元；</w:t>
      </w:r>
      <w:r>
        <w:rPr>
          <w:rFonts w:hint="eastAsia" w:ascii="宋体" w:hAnsi="宋体" w:cs="宋体"/>
          <w:color w:val="auto"/>
          <w:highlight w:val="none"/>
        </w:rPr>
        <w:t>（小写）</w:t>
      </w:r>
      <w:r>
        <w:rPr>
          <w:rFonts w:hint="eastAsia" w:ascii="宋体" w:hAnsi="宋体" w:cs="宋体"/>
          <w:color w:val="auto"/>
          <w:highlight w:val="none"/>
          <w:u w:val="single"/>
        </w:rPr>
        <w:t xml:space="preserve"> ¥ XXXXX 。</w:t>
      </w:r>
      <w:r>
        <w:rPr>
          <w:rFonts w:hint="eastAsia" w:ascii="宋体" w:hAnsi="宋体" w:cs="宋体"/>
          <w:color w:val="auto"/>
          <w:highlight w:val="none"/>
        </w:rPr>
        <w:t>（备注：本次合同最终合价以实际交货数量结算）</w:t>
      </w:r>
    </w:p>
    <w:p>
      <w:pPr>
        <w:widowControl w:val="0"/>
        <w:numPr>
          <w:ilvl w:val="0"/>
          <w:numId w:val="2"/>
        </w:numPr>
        <w:adjustRightInd w:val="0"/>
        <w:spacing w:line="440" w:lineRule="atLeast"/>
        <w:jc w:val="both"/>
        <w:textAlignment w:val="baseline"/>
        <w:rPr>
          <w:rFonts w:ascii="宋体" w:hAnsi="宋体" w:cs="宋体"/>
          <w:b/>
          <w:color w:val="auto"/>
          <w:highlight w:val="none"/>
        </w:rPr>
      </w:pPr>
      <w:r>
        <w:rPr>
          <w:rFonts w:hint="eastAsia" w:ascii="宋体" w:hAnsi="宋体" w:cs="宋体"/>
          <w:b/>
          <w:color w:val="auto"/>
          <w:highlight w:val="none"/>
        </w:rPr>
        <w:t>付款方式：</w:t>
      </w:r>
    </w:p>
    <w:p>
      <w:pPr>
        <w:spacing w:line="440" w:lineRule="atLeast"/>
        <w:ind w:firstLine="424" w:firstLineChars="202"/>
        <w:rPr>
          <w:rFonts w:ascii="宋体" w:hAnsi="宋体" w:cs="宋体"/>
          <w:b/>
          <w:color w:val="auto"/>
          <w:highlight w:val="none"/>
        </w:rPr>
      </w:pPr>
      <w:r>
        <w:rPr>
          <w:rFonts w:hint="eastAsia" w:ascii="宋体" w:hAnsi="宋体" w:cs="宋体"/>
          <w:color w:val="auto"/>
          <w:highlight w:val="none"/>
        </w:rPr>
        <w:t>1、经双方签字盖章后合同生效，合同生效后不予调价，乙方按合同到货时间或甲方项目部要求供应材料或设备。甲方向乙方支付合同总额的10%作为预付款。</w:t>
      </w:r>
    </w:p>
    <w:p>
      <w:pPr>
        <w:spacing w:line="440" w:lineRule="atLeast"/>
        <w:ind w:firstLine="424" w:firstLineChars="202"/>
        <w:rPr>
          <w:rFonts w:ascii="宋体" w:hAnsi="宋体" w:cs="宋体"/>
          <w:color w:val="auto"/>
          <w:highlight w:val="none"/>
        </w:rPr>
      </w:pPr>
      <w:r>
        <w:rPr>
          <w:rFonts w:hint="eastAsia" w:ascii="宋体" w:hAnsi="宋体" w:cs="宋体"/>
          <w:color w:val="auto"/>
          <w:highlight w:val="none"/>
        </w:rPr>
        <w:t>2、乙方到货经甲方项目部和监理开箱检验合格后，应提供经项目部签字确认的当批材料或设备送货单原件（送货单内容与上述清单一致，可含附件，需加盖鲜章），乙方按照送货单开具发票（增值税专用发票，税率13%），如所开发票与送货单不符，乙方需重新开具发票并承担由此给甲方造成的经济损失。待收到乙方开具的增值税专用发票和送货单原件后，甲方向乙方支付当批材料或设备结算款总额的50%。</w:t>
      </w:r>
    </w:p>
    <w:p>
      <w:pPr>
        <w:spacing w:line="440" w:lineRule="atLeast"/>
        <w:ind w:firstLine="424" w:firstLineChars="202"/>
        <w:rPr>
          <w:rFonts w:ascii="宋体" w:hAnsi="宋体" w:cs="宋体"/>
          <w:color w:val="auto"/>
          <w:highlight w:val="none"/>
        </w:rPr>
      </w:pPr>
      <w:r>
        <w:rPr>
          <w:rFonts w:hint="eastAsia" w:ascii="宋体" w:hAnsi="宋体" w:cs="宋体"/>
          <w:color w:val="auto"/>
          <w:highlight w:val="none"/>
        </w:rPr>
        <w:t>3、安装调试完毕后，甲方向乙方支付合同总额的37﹪。</w:t>
      </w:r>
    </w:p>
    <w:p>
      <w:pPr>
        <w:spacing w:line="440" w:lineRule="atLeast"/>
        <w:ind w:firstLine="420" w:firstLineChars="200"/>
        <w:rPr>
          <w:rFonts w:ascii="宋体" w:hAnsi="宋体" w:cs="宋体"/>
          <w:color w:val="auto"/>
          <w:highlight w:val="none"/>
        </w:rPr>
      </w:pPr>
      <w:r>
        <w:rPr>
          <w:rFonts w:hint="eastAsia" w:ascii="宋体" w:hAnsi="宋体" w:cs="宋体"/>
          <w:color w:val="auto"/>
          <w:highlight w:val="none"/>
        </w:rPr>
        <w:t>4、质保金：质量保证期（项目完工36个月后）结束后，经甲方确认无任何产品质量问题，在10个工作日内支付合同总金额的3%。</w:t>
      </w:r>
    </w:p>
    <w:p>
      <w:pPr>
        <w:spacing w:line="440" w:lineRule="atLeast"/>
        <w:ind w:firstLine="424" w:firstLineChars="202"/>
        <w:rPr>
          <w:rFonts w:ascii="宋体" w:hAnsi="宋体" w:cs="宋体"/>
          <w:color w:val="auto"/>
          <w:highlight w:val="none"/>
        </w:rPr>
      </w:pPr>
      <w:r>
        <w:rPr>
          <w:rFonts w:hint="eastAsia" w:ascii="宋体" w:hAnsi="宋体" w:cs="宋体"/>
          <w:color w:val="auto"/>
          <w:highlight w:val="none"/>
        </w:rPr>
        <w:t>5、本合同甲方费用支付与项目业主支付同步，在业主支付进度款后甲方向乙方支付相应价款。业主未及时足额向甲方支付项目相应时点工程款，导致甲方未能按照本合同约定足额向乙方支付相应时点的采购款时，乙方表示理解，不视为甲方违约；甲方承诺如实向乙方披露业主付款情况和协助乙方向业主了解付款情况，不得怠于向业主主张权利。如果甲方通过诉讼方式向业主主张权利的，乙方应当提供积极的配合和协助。除在业主按时足额付款后甲方未按本协议约定向乙方付款之外的情况，乙方不得就此向甲方提起追索材料款及违约赔偿责任之诉讼。</w:t>
      </w:r>
    </w:p>
    <w:p>
      <w:pPr>
        <w:spacing w:line="440" w:lineRule="atLeast"/>
        <w:ind w:firstLine="424" w:firstLineChars="202"/>
        <w:rPr>
          <w:rFonts w:ascii="宋体" w:hAnsi="宋体" w:cs="宋体"/>
          <w:color w:val="auto"/>
          <w:highlight w:val="none"/>
        </w:rPr>
      </w:pPr>
      <w:r>
        <w:rPr>
          <w:rFonts w:hint="eastAsia" w:ascii="宋体" w:hAnsi="宋体" w:cs="宋体"/>
          <w:color w:val="auto"/>
          <w:highlight w:val="none"/>
        </w:rPr>
        <w:t>6、甲方可采取银行转账或银行承兑方式支付以上款项。</w:t>
      </w:r>
    </w:p>
    <w:p>
      <w:pPr>
        <w:spacing w:line="440" w:lineRule="atLeast"/>
        <w:ind w:left="420"/>
        <w:rPr>
          <w:rFonts w:ascii="宋体" w:hAnsi="宋体" w:cs="宋体"/>
          <w:b/>
          <w:color w:val="auto"/>
          <w:highlight w:val="none"/>
        </w:rPr>
      </w:pPr>
      <w:r>
        <w:rPr>
          <w:rFonts w:hint="eastAsia" w:ascii="宋体" w:hAnsi="宋体" w:cs="宋体"/>
          <w:color w:val="auto"/>
          <w:highlight w:val="none"/>
        </w:rPr>
        <w:t>开票信息：(</w:t>
      </w:r>
      <w:r>
        <w:rPr>
          <w:rFonts w:hint="eastAsia" w:ascii="宋体" w:hAnsi="宋体" w:cs="宋体"/>
          <w:b/>
          <w:bCs/>
          <w:color w:val="auto"/>
          <w:highlight w:val="none"/>
        </w:rPr>
        <w:t>注意：开票时请把公司的信息填写完整)</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34" w:type="dxa"/>
            <w:vAlign w:val="center"/>
          </w:tcPr>
          <w:p>
            <w:pPr>
              <w:rPr>
                <w:rFonts w:ascii="宋体" w:hAnsi="宋体" w:cs="宋体"/>
                <w:color w:val="auto"/>
                <w:szCs w:val="21"/>
                <w:highlight w:val="none"/>
              </w:rPr>
            </w:pPr>
            <w:r>
              <w:rPr>
                <w:rFonts w:hint="eastAsia" w:ascii="宋体" w:hAnsi="宋体" w:cs="宋体"/>
                <w:color w:val="auto"/>
                <w:szCs w:val="21"/>
                <w:highlight w:val="none"/>
              </w:rPr>
              <w:t>单位名称</w:t>
            </w:r>
          </w:p>
        </w:tc>
        <w:tc>
          <w:tcPr>
            <w:tcW w:w="6241" w:type="dxa"/>
            <w:vAlign w:val="center"/>
          </w:tcPr>
          <w:p>
            <w:pPr>
              <w:rPr>
                <w:rFonts w:ascii="宋体" w:hAnsi="宋体" w:cs="宋体"/>
                <w:color w:val="auto"/>
                <w:szCs w:val="21"/>
                <w:highlight w:val="none"/>
              </w:rPr>
            </w:pPr>
            <w:r>
              <w:rPr>
                <w:rFonts w:hint="eastAsia" w:ascii="宋体" w:hAnsi="宋体" w:cs="宋体"/>
                <w:color w:val="auto"/>
                <w:highlight w:val="none"/>
              </w:rPr>
              <w:t>四川智慧高速科技有限公司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4" w:type="dxa"/>
            <w:vAlign w:val="center"/>
          </w:tcPr>
          <w:p>
            <w:pPr>
              <w:rPr>
                <w:rFonts w:ascii="宋体" w:hAnsi="宋体" w:cs="宋体"/>
                <w:color w:val="auto"/>
                <w:szCs w:val="21"/>
                <w:highlight w:val="none"/>
              </w:rPr>
            </w:pPr>
            <w:r>
              <w:rPr>
                <w:rFonts w:hint="eastAsia" w:ascii="宋体" w:hAnsi="宋体" w:cs="宋体"/>
                <w:color w:val="auto"/>
                <w:szCs w:val="21"/>
                <w:highlight w:val="none"/>
              </w:rPr>
              <w:t>纳税人识别号</w:t>
            </w:r>
          </w:p>
        </w:tc>
        <w:tc>
          <w:tcPr>
            <w:tcW w:w="6241" w:type="dxa"/>
            <w:vAlign w:val="center"/>
          </w:tcPr>
          <w:p>
            <w:pPr>
              <w:rPr>
                <w:rFonts w:ascii="宋体" w:hAnsi="宋体" w:cs="宋体"/>
                <w:color w:val="auto"/>
                <w:szCs w:val="21"/>
                <w:highlight w:val="none"/>
              </w:rPr>
            </w:pPr>
            <w:r>
              <w:rPr>
                <w:rFonts w:hint="eastAsia" w:ascii="宋体" w:hAnsi="宋体" w:cs="宋体"/>
                <w:color w:val="auto"/>
                <w:szCs w:val="21"/>
                <w:highlight w:val="none"/>
              </w:rPr>
              <w:t>91510000709152503X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34" w:type="dxa"/>
            <w:vAlign w:val="center"/>
          </w:tcPr>
          <w:p>
            <w:pPr>
              <w:rPr>
                <w:rFonts w:ascii="宋体" w:hAnsi="宋体" w:cs="宋体"/>
                <w:color w:val="auto"/>
                <w:szCs w:val="21"/>
                <w:highlight w:val="none"/>
              </w:rPr>
            </w:pPr>
            <w:r>
              <w:rPr>
                <w:rFonts w:hint="eastAsia" w:ascii="宋体" w:hAnsi="宋体" w:cs="宋体"/>
                <w:color w:val="auto"/>
                <w:szCs w:val="21"/>
                <w:highlight w:val="none"/>
              </w:rPr>
              <w:t>地址、电话</w:t>
            </w:r>
          </w:p>
        </w:tc>
        <w:tc>
          <w:tcPr>
            <w:tcW w:w="6241" w:type="dxa"/>
            <w:vAlign w:val="center"/>
          </w:tcPr>
          <w:p>
            <w:pPr>
              <w:rPr>
                <w:rFonts w:ascii="宋体" w:hAnsi="宋体" w:cs="宋体"/>
                <w:color w:val="auto"/>
                <w:szCs w:val="21"/>
                <w:highlight w:val="none"/>
              </w:rPr>
            </w:pPr>
            <w:r>
              <w:rPr>
                <w:rFonts w:hint="eastAsia" w:ascii="宋体" w:hAnsi="宋体" w:cs="宋体"/>
                <w:color w:val="auto"/>
                <w:szCs w:val="21"/>
                <w:highlight w:val="none"/>
              </w:rPr>
              <w:t>成都市武侯祠东街2号  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634" w:type="dxa"/>
            <w:vAlign w:val="center"/>
          </w:tcPr>
          <w:p>
            <w:pPr>
              <w:rPr>
                <w:rFonts w:ascii="宋体" w:hAnsi="宋体" w:cs="宋体"/>
                <w:color w:val="auto"/>
                <w:szCs w:val="21"/>
                <w:highlight w:val="none"/>
              </w:rPr>
            </w:pPr>
            <w:r>
              <w:rPr>
                <w:rFonts w:hint="eastAsia" w:ascii="宋体" w:hAnsi="宋体" w:cs="宋体"/>
                <w:color w:val="auto"/>
                <w:szCs w:val="21"/>
                <w:highlight w:val="none"/>
              </w:rPr>
              <w:t>开户银行及账号</w:t>
            </w:r>
          </w:p>
        </w:tc>
        <w:tc>
          <w:tcPr>
            <w:tcW w:w="6241" w:type="dxa"/>
            <w:vAlign w:val="center"/>
          </w:tcPr>
          <w:p>
            <w:pPr>
              <w:rPr>
                <w:rFonts w:ascii="宋体" w:hAnsi="宋体" w:cs="宋体"/>
                <w:color w:val="auto"/>
                <w:szCs w:val="21"/>
                <w:highlight w:val="none"/>
              </w:rPr>
            </w:pPr>
            <w:r>
              <w:rPr>
                <w:rFonts w:hint="eastAsia" w:ascii="宋体" w:hAnsi="宋体" w:cs="宋体"/>
                <w:color w:val="auto"/>
                <w:szCs w:val="21"/>
                <w:highlight w:val="none"/>
              </w:rPr>
              <w:t>招商银行股份有限公司成都天府大道支行028 9000 9571 0101</w:t>
            </w:r>
          </w:p>
        </w:tc>
      </w:tr>
    </w:tbl>
    <w:p>
      <w:pPr>
        <w:spacing w:line="440" w:lineRule="atLeast"/>
        <w:rPr>
          <w:rFonts w:ascii="宋体" w:hAnsi="宋体" w:cs="宋体"/>
          <w:b/>
          <w:color w:val="auto"/>
          <w:highlight w:val="none"/>
        </w:rPr>
      </w:pPr>
      <w:r>
        <w:rPr>
          <w:rFonts w:hint="eastAsia" w:ascii="宋体" w:hAnsi="宋体" w:cs="宋体"/>
          <w:b/>
          <w:color w:val="auto"/>
          <w:highlight w:val="none"/>
        </w:rPr>
        <w:t>三、合同调价：</w:t>
      </w:r>
    </w:p>
    <w:p>
      <w:pPr>
        <w:spacing w:line="440" w:lineRule="atLeast"/>
        <w:ind w:firstLine="420" w:firstLineChars="200"/>
        <w:rPr>
          <w:rFonts w:ascii="宋体" w:hAnsi="宋体" w:cs="宋体"/>
          <w:b/>
          <w:color w:val="auto"/>
          <w:highlight w:val="none"/>
        </w:rPr>
      </w:pPr>
      <w:r>
        <w:rPr>
          <w:rFonts w:hint="eastAsia" w:ascii="宋体" w:hAnsi="宋体" w:cs="宋体"/>
          <w:color w:val="auto"/>
          <w:highlight w:val="none"/>
        </w:rPr>
        <w:t>经双方签字盖章后合同生效，合同生效后不予调价。</w:t>
      </w:r>
    </w:p>
    <w:p>
      <w:pPr>
        <w:spacing w:line="440" w:lineRule="atLeast"/>
        <w:rPr>
          <w:rFonts w:ascii="宋体" w:hAnsi="宋体" w:cs="宋体"/>
          <w:b/>
          <w:color w:val="auto"/>
          <w:highlight w:val="none"/>
        </w:rPr>
      </w:pPr>
      <w:r>
        <w:rPr>
          <w:rFonts w:hint="eastAsia" w:ascii="宋体" w:hAnsi="宋体" w:cs="宋体"/>
          <w:b/>
          <w:color w:val="auto"/>
          <w:highlight w:val="none"/>
        </w:rPr>
        <w:t>四、货物包装及随机资料：</w:t>
      </w:r>
    </w:p>
    <w:p>
      <w:pPr>
        <w:spacing w:line="440" w:lineRule="atLeast"/>
        <w:ind w:left="420" w:firstLine="420" w:firstLineChars="200"/>
        <w:rPr>
          <w:rFonts w:ascii="宋体" w:hAnsi="宋体" w:cs="宋体"/>
          <w:color w:val="auto"/>
          <w:highlight w:val="none"/>
        </w:rPr>
      </w:pPr>
      <w:r>
        <w:rPr>
          <w:rFonts w:hint="eastAsia" w:ascii="宋体" w:hAnsi="宋体" w:cs="宋体"/>
          <w:color w:val="auto"/>
          <w:highlight w:val="none"/>
        </w:rPr>
        <w:t>1、乙方应当在运输过程中进行防护，应对产品进行有效、安全的包装，应做到防雨、防潮湿、防震等保护措施，确保产品能够安全无损的运抵交货地点，运输过程中导致货物毁损、灭失等情况的由乙方自行承担。</w:t>
      </w:r>
    </w:p>
    <w:p>
      <w:pPr>
        <w:spacing w:line="440" w:lineRule="atLeast"/>
        <w:ind w:left="420" w:firstLine="420" w:firstLineChars="200"/>
        <w:rPr>
          <w:rFonts w:ascii="宋体" w:hAnsi="宋体" w:cs="宋体"/>
          <w:color w:val="auto"/>
          <w:highlight w:val="none"/>
        </w:rPr>
      </w:pPr>
      <w:r>
        <w:rPr>
          <w:rFonts w:hint="eastAsia" w:ascii="宋体" w:hAnsi="宋体" w:cs="宋体"/>
          <w:color w:val="auto"/>
          <w:highlight w:val="none"/>
        </w:rPr>
        <w:t>2、乙方应和设备一起提供相关的文件资料，其中部分为必须，其他资料不作强制要求。需乙方必须提供的资料如不完整，将影响甲方计量支付，若影响甲方对乙方设备款的按时支付，甲方不承担逾期付款的违约责任。</w:t>
      </w:r>
    </w:p>
    <w:p>
      <w:pPr>
        <w:spacing w:line="440" w:lineRule="atLeast"/>
        <w:ind w:left="420" w:firstLine="420" w:firstLineChars="200"/>
        <w:rPr>
          <w:rFonts w:ascii="宋体" w:hAnsi="宋体" w:cs="宋体"/>
          <w:color w:val="auto"/>
          <w:highlight w:val="none"/>
        </w:rPr>
      </w:pPr>
      <w:r>
        <w:rPr>
          <w:rFonts w:hint="eastAsia" w:ascii="宋体" w:hAnsi="宋体" w:cs="宋体"/>
          <w:color w:val="auto"/>
          <w:highlight w:val="none"/>
        </w:rPr>
        <w:t>3、设备供应商应提供的资料如下，文字加粗部分为必须提供的资料，其他资料不作强制要求：</w:t>
      </w:r>
    </w:p>
    <w:p>
      <w:pPr>
        <w:widowControl w:val="0"/>
        <w:numPr>
          <w:ilvl w:val="0"/>
          <w:numId w:val="3"/>
        </w:numPr>
        <w:adjustRightInd w:val="0"/>
        <w:spacing w:line="440" w:lineRule="atLeast"/>
        <w:jc w:val="both"/>
        <w:textAlignment w:val="baseline"/>
        <w:rPr>
          <w:rFonts w:ascii="宋体" w:hAnsi="宋体" w:cs="宋体"/>
          <w:b/>
          <w:color w:val="auto"/>
          <w:highlight w:val="none"/>
        </w:rPr>
      </w:pPr>
      <w:r>
        <w:rPr>
          <w:rFonts w:hint="eastAsia" w:ascii="宋体" w:hAnsi="宋体" w:cs="宋体"/>
          <w:b/>
          <w:color w:val="auto"/>
          <w:highlight w:val="none"/>
        </w:rPr>
        <w:t>产品合格证</w:t>
      </w:r>
    </w:p>
    <w:p>
      <w:pPr>
        <w:widowControl w:val="0"/>
        <w:numPr>
          <w:ilvl w:val="0"/>
          <w:numId w:val="3"/>
        </w:numPr>
        <w:adjustRightInd w:val="0"/>
        <w:spacing w:line="440" w:lineRule="atLeast"/>
        <w:jc w:val="both"/>
        <w:textAlignment w:val="baseline"/>
        <w:rPr>
          <w:rFonts w:ascii="宋体" w:hAnsi="宋体" w:cs="宋体"/>
          <w:color w:val="auto"/>
          <w:highlight w:val="none"/>
        </w:rPr>
      </w:pPr>
      <w:r>
        <w:rPr>
          <w:rFonts w:hint="eastAsia" w:ascii="宋体" w:hAnsi="宋体" w:cs="宋体"/>
          <w:b/>
          <w:color w:val="auto"/>
          <w:highlight w:val="none"/>
        </w:rPr>
        <w:t>产品说明书</w:t>
      </w:r>
      <w:r>
        <w:rPr>
          <w:rFonts w:hint="eastAsia" w:ascii="宋体" w:hAnsi="宋体" w:cs="宋体"/>
          <w:color w:val="auto"/>
          <w:highlight w:val="none"/>
        </w:rPr>
        <w:t>（产品安装说明：含安装图、接线图、端子图，防雷保护说明，产品外观尺寸，功耗，产品安装连接件规格型号；产品使用说明；产品保养说明；产品维修说明：原理图、常见故障诊断及排除，MTTR及MTBF；可能影响设备正常工作的外部潜在因素）</w:t>
      </w:r>
    </w:p>
    <w:p>
      <w:pPr>
        <w:widowControl w:val="0"/>
        <w:numPr>
          <w:ilvl w:val="0"/>
          <w:numId w:val="3"/>
        </w:numPr>
        <w:adjustRightInd w:val="0"/>
        <w:spacing w:line="440" w:lineRule="atLeast"/>
        <w:jc w:val="both"/>
        <w:textAlignment w:val="baseline"/>
        <w:rPr>
          <w:rFonts w:ascii="宋体" w:hAnsi="宋体" w:cs="宋体"/>
          <w:b/>
          <w:color w:val="auto"/>
          <w:highlight w:val="none"/>
        </w:rPr>
      </w:pPr>
      <w:r>
        <w:rPr>
          <w:rFonts w:hint="eastAsia" w:ascii="宋体" w:hAnsi="宋体" w:cs="宋体"/>
          <w:b/>
          <w:color w:val="auto"/>
          <w:highlight w:val="none"/>
        </w:rPr>
        <w:t>厂家出厂检测报告</w:t>
      </w:r>
    </w:p>
    <w:p>
      <w:pPr>
        <w:widowControl w:val="0"/>
        <w:numPr>
          <w:ilvl w:val="0"/>
          <w:numId w:val="3"/>
        </w:numPr>
        <w:adjustRightInd w:val="0"/>
        <w:spacing w:line="440" w:lineRule="atLeast"/>
        <w:jc w:val="both"/>
        <w:textAlignment w:val="baseline"/>
        <w:rPr>
          <w:rFonts w:ascii="宋体" w:hAnsi="宋体" w:cs="宋体"/>
          <w:color w:val="auto"/>
          <w:highlight w:val="none"/>
        </w:rPr>
      </w:pPr>
      <w:r>
        <w:rPr>
          <w:rFonts w:hint="eastAsia" w:ascii="宋体" w:hAnsi="宋体" w:cs="宋体"/>
          <w:b/>
          <w:color w:val="auto"/>
          <w:highlight w:val="none"/>
        </w:rPr>
        <w:t>国家官方（第三方）权威机构检测报告</w:t>
      </w:r>
      <w:r>
        <w:rPr>
          <w:rFonts w:hint="eastAsia" w:ascii="宋体" w:hAnsi="宋体" w:cs="宋体"/>
          <w:color w:val="auto"/>
          <w:highlight w:val="none"/>
        </w:rPr>
        <w:t>（如行业有要求则提供相关入网许可证）</w:t>
      </w:r>
    </w:p>
    <w:p>
      <w:pPr>
        <w:widowControl w:val="0"/>
        <w:numPr>
          <w:ilvl w:val="0"/>
          <w:numId w:val="3"/>
        </w:numPr>
        <w:adjustRightInd w:val="0"/>
        <w:spacing w:line="440" w:lineRule="atLeast"/>
        <w:jc w:val="both"/>
        <w:textAlignment w:val="baseline"/>
        <w:rPr>
          <w:rFonts w:ascii="宋体" w:hAnsi="宋体" w:cs="宋体"/>
          <w:b/>
          <w:color w:val="auto"/>
          <w:highlight w:val="none"/>
        </w:rPr>
      </w:pPr>
      <w:r>
        <w:rPr>
          <w:rFonts w:hint="eastAsia" w:ascii="宋体" w:hAnsi="宋体" w:cs="宋体"/>
          <w:b/>
          <w:color w:val="auto"/>
          <w:highlight w:val="none"/>
        </w:rPr>
        <w:t>开箱单</w:t>
      </w:r>
    </w:p>
    <w:p>
      <w:pPr>
        <w:widowControl w:val="0"/>
        <w:numPr>
          <w:ilvl w:val="0"/>
          <w:numId w:val="3"/>
        </w:numPr>
        <w:adjustRightInd w:val="0"/>
        <w:spacing w:line="440" w:lineRule="atLeast"/>
        <w:jc w:val="both"/>
        <w:textAlignment w:val="baseline"/>
        <w:rPr>
          <w:rFonts w:ascii="宋体" w:hAnsi="宋体" w:cs="宋体"/>
          <w:color w:val="auto"/>
          <w:highlight w:val="none"/>
        </w:rPr>
      </w:pPr>
      <w:r>
        <w:rPr>
          <w:rFonts w:hint="eastAsia" w:ascii="宋体" w:hAnsi="宋体" w:cs="宋体"/>
          <w:color w:val="auto"/>
          <w:highlight w:val="none"/>
        </w:rPr>
        <w:t>通信协议说明书及产品单机测试软件，产品测试内容、方法及标准</w:t>
      </w:r>
    </w:p>
    <w:p>
      <w:pPr>
        <w:widowControl w:val="0"/>
        <w:numPr>
          <w:ilvl w:val="0"/>
          <w:numId w:val="3"/>
        </w:numPr>
        <w:adjustRightInd w:val="0"/>
        <w:spacing w:line="440" w:lineRule="atLeast"/>
        <w:jc w:val="both"/>
        <w:textAlignment w:val="baseline"/>
        <w:rPr>
          <w:rFonts w:ascii="宋体" w:hAnsi="宋体" w:cs="宋体"/>
          <w:color w:val="auto"/>
          <w:highlight w:val="none"/>
        </w:rPr>
      </w:pPr>
      <w:r>
        <w:rPr>
          <w:rFonts w:hint="eastAsia" w:ascii="宋体" w:hAnsi="宋体" w:cs="宋体"/>
          <w:color w:val="auto"/>
          <w:highlight w:val="none"/>
        </w:rPr>
        <w:t>售后服务承诺书(是否提供维修备件等，保修时间)</w:t>
      </w:r>
    </w:p>
    <w:p>
      <w:pPr>
        <w:widowControl w:val="0"/>
        <w:numPr>
          <w:ilvl w:val="0"/>
          <w:numId w:val="3"/>
        </w:numPr>
        <w:adjustRightInd w:val="0"/>
        <w:spacing w:line="440" w:lineRule="atLeast"/>
        <w:jc w:val="both"/>
        <w:textAlignment w:val="baseline"/>
        <w:rPr>
          <w:rFonts w:ascii="宋体" w:hAnsi="宋体" w:cs="宋体"/>
          <w:color w:val="auto"/>
          <w:highlight w:val="none"/>
        </w:rPr>
      </w:pPr>
      <w:r>
        <w:rPr>
          <w:rFonts w:hint="eastAsia" w:ascii="宋体" w:hAnsi="宋体" w:cs="宋体"/>
          <w:color w:val="auto"/>
          <w:highlight w:val="none"/>
        </w:rPr>
        <w:t>质量保证书（承诺符合国家标准要求，特别是交通部F80/2004交通工程验收标准的要求）</w:t>
      </w:r>
    </w:p>
    <w:p>
      <w:pPr>
        <w:widowControl w:val="0"/>
        <w:numPr>
          <w:ilvl w:val="0"/>
          <w:numId w:val="3"/>
        </w:numPr>
        <w:adjustRightInd w:val="0"/>
        <w:spacing w:line="440" w:lineRule="atLeast"/>
        <w:jc w:val="both"/>
        <w:textAlignment w:val="baseline"/>
        <w:rPr>
          <w:rFonts w:ascii="宋体" w:hAnsi="宋体" w:cs="宋体"/>
          <w:color w:val="auto"/>
          <w:highlight w:val="none"/>
        </w:rPr>
      </w:pPr>
      <w:r>
        <w:rPr>
          <w:rFonts w:hint="eastAsia" w:ascii="宋体" w:hAnsi="宋体" w:cs="宋体"/>
          <w:b/>
          <w:color w:val="auto"/>
          <w:highlight w:val="none"/>
        </w:rPr>
        <w:t>开箱检验单</w:t>
      </w:r>
      <w:r>
        <w:rPr>
          <w:rFonts w:hint="eastAsia" w:ascii="宋体" w:hAnsi="宋体" w:cs="宋体"/>
          <w:color w:val="auto"/>
          <w:highlight w:val="none"/>
        </w:rPr>
        <w:t>（经项目部签字确认无误的到货检验单）</w:t>
      </w:r>
    </w:p>
    <w:p>
      <w:pPr>
        <w:rPr>
          <w:rFonts w:ascii="宋体" w:hAnsi="宋体" w:cs="宋体"/>
          <w:b/>
          <w:color w:val="auto"/>
          <w:highlight w:val="none"/>
        </w:rPr>
      </w:pPr>
      <w:r>
        <w:rPr>
          <w:rFonts w:hint="eastAsia" w:ascii="宋体" w:hAnsi="宋体" w:cs="宋体"/>
          <w:b/>
          <w:color w:val="auto"/>
          <w:highlight w:val="none"/>
        </w:rPr>
        <w:t>五、交货：</w:t>
      </w:r>
    </w:p>
    <w:p>
      <w:pPr>
        <w:ind w:firstLine="567" w:firstLineChars="270"/>
        <w:rPr>
          <w:rFonts w:ascii="宋体" w:hAnsi="宋体" w:cs="宋体"/>
          <w:color w:val="auto"/>
          <w:highlight w:val="none"/>
        </w:rPr>
      </w:pPr>
      <w:r>
        <w:rPr>
          <w:rFonts w:hint="eastAsia" w:ascii="宋体" w:hAnsi="宋体" w:cs="宋体"/>
          <w:color w:val="auto"/>
          <w:highlight w:val="none"/>
        </w:rPr>
        <w:t>1、甲方通知乙方供货，乙方根据甲方供货计划进行发货。</w:t>
      </w:r>
    </w:p>
    <w:p>
      <w:pPr>
        <w:ind w:left="359" w:firstLine="210" w:firstLineChars="100"/>
        <w:rPr>
          <w:rFonts w:ascii="宋体" w:hAnsi="宋体" w:cs="宋体"/>
          <w:color w:val="auto"/>
          <w:highlight w:val="none"/>
        </w:rPr>
      </w:pPr>
      <w:r>
        <w:rPr>
          <w:rFonts w:hint="eastAsia" w:ascii="宋体" w:hAnsi="宋体" w:cs="宋体"/>
          <w:color w:val="auto"/>
          <w:highlight w:val="none"/>
        </w:rPr>
        <w:t>2、到货时间：XXXX年X月X日前 或根据甲方项目部具体通知时间为准。</w:t>
      </w:r>
    </w:p>
    <w:p>
      <w:pPr>
        <w:ind w:left="359" w:firstLine="210" w:firstLineChars="100"/>
        <w:rPr>
          <w:rFonts w:ascii="宋体" w:hAnsi="宋体" w:cs="宋体"/>
          <w:color w:val="auto"/>
          <w:highlight w:val="none"/>
        </w:rPr>
      </w:pPr>
      <w:r>
        <w:rPr>
          <w:rFonts w:hint="eastAsia" w:ascii="宋体" w:hAnsi="宋体" w:cs="宋体"/>
          <w:color w:val="auto"/>
          <w:highlight w:val="none"/>
        </w:rPr>
        <w:t>3、交货地点：XXXXXXXXXXX</w:t>
      </w:r>
    </w:p>
    <w:p>
      <w:pPr>
        <w:rPr>
          <w:rFonts w:ascii="宋体" w:hAnsi="宋体" w:cs="宋体"/>
          <w:color w:val="auto"/>
          <w:highlight w:val="none"/>
        </w:rPr>
      </w:pPr>
      <w:r>
        <w:rPr>
          <w:rFonts w:hint="eastAsia" w:ascii="宋体" w:hAnsi="宋体" w:cs="宋体"/>
          <w:b/>
          <w:color w:val="auto"/>
          <w:highlight w:val="none"/>
        </w:rPr>
        <w:t>六、货物接收人及联系方式</w:t>
      </w:r>
      <w:r>
        <w:rPr>
          <w:rFonts w:hint="eastAsia" w:ascii="宋体" w:hAnsi="宋体" w:cs="宋体"/>
          <w:color w:val="auto"/>
          <w:highlight w:val="none"/>
        </w:rPr>
        <w:t>：XXXXXXXX</w:t>
      </w:r>
    </w:p>
    <w:p>
      <w:pPr>
        <w:rPr>
          <w:rFonts w:ascii="宋体" w:hAnsi="宋体" w:cs="宋体"/>
          <w:b/>
          <w:color w:val="auto"/>
          <w:highlight w:val="none"/>
        </w:rPr>
      </w:pPr>
      <w:r>
        <w:rPr>
          <w:rFonts w:hint="eastAsia" w:ascii="宋体" w:hAnsi="宋体" w:cs="宋体"/>
          <w:b/>
          <w:color w:val="auto"/>
          <w:highlight w:val="none"/>
        </w:rPr>
        <w:t>七、人身伤亡约定：</w:t>
      </w:r>
    </w:p>
    <w:p>
      <w:pPr>
        <w:ind w:firstLine="420" w:firstLineChars="200"/>
        <w:rPr>
          <w:rFonts w:ascii="宋体" w:hAnsi="宋体" w:cs="宋体"/>
          <w:color w:val="auto"/>
          <w:highlight w:val="none"/>
        </w:rPr>
      </w:pPr>
      <w:r>
        <w:rPr>
          <w:rFonts w:hint="eastAsia" w:ascii="宋体" w:hAnsi="宋体" w:cs="宋体"/>
          <w:color w:val="auto"/>
          <w:highlight w:val="none"/>
        </w:rPr>
        <w:t>乙方运输人员应做好运输途中、进入施工现场、售后服务过程中的防护措施，因乙方原因导致在施工现场发生事故造成人身伤亡的，由其自行负责。若导致第三方损害的，由乙方承担赔偿责任，因此致使甲方遭受损失或承担相应责任的，有权向乙方追偿。</w:t>
      </w:r>
    </w:p>
    <w:p>
      <w:pPr>
        <w:rPr>
          <w:rFonts w:ascii="宋体" w:hAnsi="宋体" w:cs="宋体"/>
          <w:b/>
          <w:color w:val="auto"/>
          <w:highlight w:val="none"/>
        </w:rPr>
      </w:pPr>
      <w:r>
        <w:rPr>
          <w:rFonts w:hint="eastAsia" w:ascii="宋体" w:hAnsi="宋体" w:cs="宋体"/>
          <w:b/>
          <w:color w:val="auto"/>
          <w:highlight w:val="none"/>
        </w:rPr>
        <w:t>八、质量与检验：</w:t>
      </w:r>
    </w:p>
    <w:p>
      <w:pPr>
        <w:ind w:firstLine="420" w:firstLineChars="200"/>
        <w:rPr>
          <w:rFonts w:ascii="宋体" w:hAnsi="宋体" w:cs="宋体"/>
          <w:color w:val="auto"/>
          <w:highlight w:val="none"/>
        </w:rPr>
      </w:pPr>
      <w:r>
        <w:rPr>
          <w:rFonts w:hint="eastAsia" w:ascii="宋体" w:hAnsi="宋体" w:cs="宋体"/>
          <w:color w:val="auto"/>
          <w:highlight w:val="none"/>
        </w:rPr>
        <w:t>1、质量要求：乙方提供产品的质量必须符合或优于技术标准，技术标准包括：国家标准、行业标准、公路工程质量评定标准、本项目比选文件和联合设计文件的技术要求，以上述标准中最高者为准。乙方保证本合同项下的产品为全新的，如果产品存在质量问题，甲方有权退货，且不承担任何责任，并有索赔的权利。</w:t>
      </w:r>
    </w:p>
    <w:p>
      <w:pPr>
        <w:ind w:firstLine="424" w:firstLineChars="202"/>
        <w:rPr>
          <w:rFonts w:ascii="宋体" w:hAnsi="宋体" w:cs="宋体"/>
          <w:color w:val="auto"/>
          <w:highlight w:val="none"/>
        </w:rPr>
      </w:pPr>
      <w:r>
        <w:rPr>
          <w:rFonts w:hint="eastAsia" w:ascii="宋体" w:hAnsi="宋体" w:cs="宋体"/>
          <w:color w:val="auto"/>
          <w:highlight w:val="none"/>
        </w:rPr>
        <w:t>2、工厂检验：根据工程实施的需要，如需工厂检验，甲方提前一周书面通知乙方，明确厂验时间、参加人员、检验内容及标准。乙方在接到甲方厂验合格通知后方可安排发货。</w:t>
      </w:r>
    </w:p>
    <w:p>
      <w:pPr>
        <w:ind w:firstLine="424" w:firstLineChars="202"/>
        <w:rPr>
          <w:rFonts w:ascii="宋体" w:hAnsi="宋体" w:cs="宋体"/>
          <w:color w:val="auto"/>
          <w:highlight w:val="none"/>
        </w:rPr>
      </w:pPr>
      <w:r>
        <w:rPr>
          <w:rFonts w:hint="eastAsia" w:ascii="宋体" w:hAnsi="宋体" w:cs="宋体"/>
          <w:color w:val="auto"/>
          <w:highlight w:val="none"/>
        </w:rPr>
        <w:t>3、到货检验的内容包括：清点设备数量，检查设备包装是否完好无损，需甲方项目部、乙方双方签字确认到货检验单，提供与货物数量相同的资料，包括由乙方出具的质量保证书、由国家相关专设机构出具的产品检测报告、产品检验合格证、技术规范或产品使用说明书、产地证明。</w:t>
      </w:r>
    </w:p>
    <w:p>
      <w:pPr>
        <w:ind w:firstLine="424" w:firstLineChars="202"/>
        <w:rPr>
          <w:rFonts w:ascii="宋体" w:hAnsi="宋体" w:cs="宋体"/>
          <w:color w:val="auto"/>
          <w:highlight w:val="none"/>
        </w:rPr>
      </w:pPr>
      <w:r>
        <w:rPr>
          <w:rFonts w:hint="eastAsia" w:ascii="宋体" w:hAnsi="宋体" w:cs="宋体"/>
          <w:color w:val="auto"/>
          <w:highlight w:val="none"/>
        </w:rPr>
        <w:t>4、开箱检验：甲方项目部、乙方及该项目监理共同参与开箱检验，检查货物与装箱单是否相符，配件是否齐全，货物外观是否完好无损，有条件的可以通电测试产品是否正常工作。甲方项目部经理、乙方共同签字确认开箱检验单。经甲方项目部现场检验符合合同要求的，视为交货，货物风险转移甲方承担，若不符合合同约定要求，乙方应当更换或补充，供货期限不予顺延。</w:t>
      </w:r>
    </w:p>
    <w:p>
      <w:pPr>
        <w:ind w:firstLine="424" w:firstLineChars="202"/>
        <w:rPr>
          <w:rFonts w:ascii="宋体" w:hAnsi="宋体" w:cs="宋体"/>
          <w:color w:val="auto"/>
          <w:highlight w:val="none"/>
        </w:rPr>
      </w:pPr>
      <w:r>
        <w:rPr>
          <w:rFonts w:hint="eastAsia" w:ascii="宋体" w:hAnsi="宋体" w:cs="宋体"/>
          <w:color w:val="auto"/>
          <w:highlight w:val="none"/>
        </w:rPr>
        <w:t>5、乙方有义务在甲方进行工程验收检测时派遣技术人员至现场进行配合。</w:t>
      </w:r>
    </w:p>
    <w:p>
      <w:pPr>
        <w:rPr>
          <w:rFonts w:ascii="宋体" w:hAnsi="宋体" w:cs="宋体"/>
          <w:b/>
          <w:color w:val="auto"/>
          <w:highlight w:val="none"/>
        </w:rPr>
      </w:pPr>
      <w:r>
        <w:rPr>
          <w:rFonts w:hint="eastAsia" w:ascii="宋体" w:hAnsi="宋体" w:cs="宋体"/>
          <w:b/>
          <w:color w:val="auto"/>
          <w:highlight w:val="none"/>
        </w:rPr>
        <w:t>九、产品服务：</w:t>
      </w:r>
    </w:p>
    <w:p>
      <w:pPr>
        <w:ind w:firstLine="424" w:firstLineChars="202"/>
        <w:rPr>
          <w:rFonts w:ascii="宋体" w:hAnsi="宋体" w:cs="宋体"/>
          <w:color w:val="auto"/>
          <w:highlight w:val="none"/>
        </w:rPr>
      </w:pPr>
      <w:r>
        <w:rPr>
          <w:rFonts w:hint="eastAsia" w:ascii="宋体" w:hAnsi="宋体" w:cs="宋体"/>
          <w:color w:val="auto"/>
          <w:highlight w:val="none"/>
        </w:rPr>
        <w:t>1、乙方在甲方需要时免费派遣技术人员至现场与甲方技术人员进行联合设计。</w:t>
      </w:r>
    </w:p>
    <w:p>
      <w:pPr>
        <w:ind w:firstLine="424" w:firstLineChars="202"/>
        <w:rPr>
          <w:rFonts w:ascii="宋体" w:hAnsi="宋体" w:cs="宋体"/>
          <w:color w:val="auto"/>
          <w:highlight w:val="none"/>
        </w:rPr>
      </w:pPr>
      <w:r>
        <w:rPr>
          <w:rFonts w:hint="eastAsia" w:ascii="宋体" w:hAnsi="宋体" w:cs="宋体"/>
          <w:color w:val="auto"/>
          <w:highlight w:val="none"/>
        </w:rPr>
        <w:t>2、乙方在甲方需要时免费派遣技术人员至现场指导甲方进行设备安装或由乙方进行安装。</w:t>
      </w:r>
    </w:p>
    <w:p>
      <w:pPr>
        <w:ind w:firstLine="424" w:firstLineChars="202"/>
        <w:rPr>
          <w:rFonts w:ascii="宋体" w:hAnsi="宋体" w:cs="宋体"/>
          <w:color w:val="auto"/>
          <w:highlight w:val="none"/>
        </w:rPr>
      </w:pPr>
      <w:r>
        <w:rPr>
          <w:rFonts w:hint="eastAsia" w:ascii="宋体" w:hAnsi="宋体" w:cs="宋体"/>
          <w:color w:val="auto"/>
          <w:highlight w:val="none"/>
        </w:rPr>
        <w:t>3、产品质量保证：供货后三年内提供免费质保（非产品质量问题不在此内）。乙方在质保期内应当及时履行售后服务，对甲方提出的售后服务要求应当在2小时内响应，并最迟在24小时派员处理。质保期到后，乙方应出具书面通知甲方免费质保期已到，若无书面通知视为免费质保期延期至乙方出具书面通知之日。</w:t>
      </w:r>
    </w:p>
    <w:p>
      <w:pPr>
        <w:ind w:firstLine="424" w:firstLineChars="202"/>
        <w:rPr>
          <w:rFonts w:ascii="宋体" w:hAnsi="宋体" w:cs="宋体"/>
          <w:color w:val="auto"/>
          <w:highlight w:val="none"/>
        </w:rPr>
      </w:pPr>
      <w:r>
        <w:rPr>
          <w:rFonts w:hint="eastAsia" w:ascii="宋体" w:hAnsi="宋体" w:cs="宋体"/>
          <w:color w:val="auto"/>
          <w:highlight w:val="none"/>
        </w:rPr>
        <w:t>4、乙方有义务在甲方需要时，临时提供备品备件更换故障设备，保障系统正常运行；待故障设备修复后甲方将临时顶替的备品备件退还乙方。</w:t>
      </w:r>
    </w:p>
    <w:p>
      <w:pPr>
        <w:ind w:firstLine="424" w:firstLineChars="202"/>
        <w:rPr>
          <w:rFonts w:ascii="宋体" w:hAnsi="宋体" w:cs="宋体"/>
          <w:color w:val="auto"/>
          <w:highlight w:val="none"/>
        </w:rPr>
      </w:pPr>
      <w:r>
        <w:rPr>
          <w:rFonts w:hint="eastAsia" w:ascii="宋体" w:hAnsi="宋体" w:cs="宋体"/>
          <w:color w:val="auto"/>
          <w:highlight w:val="none"/>
        </w:rPr>
        <w:t>5、乙方有义务为本工程项目营运单位及甲方提供相关的技术培训，并负责提供乙方所供产品相关的培训资料。</w:t>
      </w:r>
    </w:p>
    <w:p>
      <w:pPr>
        <w:ind w:firstLine="424" w:firstLineChars="202"/>
        <w:rPr>
          <w:rFonts w:ascii="宋体" w:hAnsi="宋体" w:cs="宋体"/>
          <w:color w:val="auto"/>
          <w:highlight w:val="none"/>
        </w:rPr>
      </w:pPr>
      <w:r>
        <w:rPr>
          <w:rFonts w:hint="eastAsia" w:ascii="宋体" w:hAnsi="宋体" w:cs="宋体"/>
          <w:color w:val="auto"/>
          <w:highlight w:val="none"/>
        </w:rPr>
        <w:t>6、质量保证期后，乙方为甲方提供有偿服务时，乙方承诺给予甲方最优惠的价格。</w:t>
      </w:r>
    </w:p>
    <w:p>
      <w:pPr>
        <w:ind w:firstLine="707" w:firstLineChars="337"/>
        <w:rPr>
          <w:rFonts w:ascii="宋体" w:hAnsi="宋体" w:cs="宋体"/>
          <w:color w:val="auto"/>
          <w:highlight w:val="none"/>
        </w:rPr>
      </w:pPr>
      <w:r>
        <w:rPr>
          <w:rFonts w:hint="eastAsia" w:ascii="宋体" w:hAnsi="宋体" w:cs="宋体"/>
          <w:color w:val="auto"/>
          <w:highlight w:val="none"/>
        </w:rPr>
        <w:t>售后服务联系人姓名：XXX       售后服务联系人电话：XXXXX</w:t>
      </w:r>
    </w:p>
    <w:p>
      <w:pPr>
        <w:rPr>
          <w:rFonts w:ascii="宋体" w:hAnsi="宋体" w:cs="宋体"/>
          <w:b/>
          <w:color w:val="auto"/>
          <w:highlight w:val="none"/>
        </w:rPr>
      </w:pPr>
      <w:r>
        <w:rPr>
          <w:rFonts w:hint="eastAsia" w:ascii="宋体" w:hAnsi="宋体" w:cs="宋体"/>
          <w:b/>
          <w:color w:val="auto"/>
          <w:highlight w:val="none"/>
        </w:rPr>
        <w:t>十、不可抗力：</w:t>
      </w:r>
    </w:p>
    <w:p>
      <w:pPr>
        <w:autoSpaceDE w:val="0"/>
        <w:autoSpaceDN w:val="0"/>
        <w:ind w:right="-82" w:firstLine="424" w:firstLineChars="202"/>
        <w:rPr>
          <w:rFonts w:ascii="宋体" w:hAnsi="宋体" w:cs="宋体"/>
          <w:color w:val="auto"/>
          <w:highlight w:val="none"/>
        </w:rPr>
      </w:pPr>
      <w:r>
        <w:rPr>
          <w:rFonts w:hint="eastAsia" w:ascii="宋体" w:hAnsi="宋体" w:cs="宋体"/>
          <w:color w:val="auto"/>
          <w:highlight w:val="none"/>
        </w:rPr>
        <w:t>1、本合同所称的不可抗力是指不能预见、不能避免、并不能克服的客观情况。</w:t>
      </w:r>
    </w:p>
    <w:p>
      <w:pPr>
        <w:autoSpaceDE w:val="0"/>
        <w:autoSpaceDN w:val="0"/>
        <w:ind w:right="-82" w:firstLine="424" w:firstLineChars="202"/>
        <w:rPr>
          <w:rFonts w:ascii="宋体" w:hAnsi="宋体" w:cs="宋体"/>
          <w:color w:val="auto"/>
          <w:highlight w:val="none"/>
        </w:rPr>
      </w:pPr>
      <w:r>
        <w:rPr>
          <w:rFonts w:hint="eastAsia" w:ascii="宋体" w:hAnsi="宋体" w:cs="宋体"/>
          <w:color w:val="auto"/>
          <w:highlight w:val="none"/>
        </w:rPr>
        <w:t>2、因不可抗力不能履行合同的，根据不可抗力的影响，部分或者全部免除责任，但法律另有规定的除外。如因延迟履行后发生不可抗力的，不能免除责任。</w:t>
      </w:r>
    </w:p>
    <w:p>
      <w:pPr>
        <w:autoSpaceDE w:val="0"/>
        <w:autoSpaceDN w:val="0"/>
        <w:ind w:right="-79" w:firstLine="424" w:firstLineChars="202"/>
        <w:rPr>
          <w:rFonts w:ascii="宋体" w:hAnsi="宋体" w:cs="宋体"/>
          <w:color w:val="auto"/>
          <w:highlight w:val="none"/>
        </w:rPr>
      </w:pPr>
      <w:r>
        <w:rPr>
          <w:rFonts w:hint="eastAsia" w:ascii="宋体" w:hAnsi="宋体" w:cs="宋体"/>
          <w:color w:val="auto"/>
          <w:highlight w:val="none"/>
        </w:rPr>
        <w:t>3、发生不可抗力的一方需在不可抗力发生后十日内及时通知另一方，以减轻可能给对方造成的损失，同时向对方提供事件的详情，解释不能执行或延迟执行该合同的全部或部分原因，以及有关部门、政府有关机构或中立方签发的证明材料。</w:t>
      </w:r>
    </w:p>
    <w:p>
      <w:pPr>
        <w:autoSpaceDE w:val="0"/>
        <w:autoSpaceDN w:val="0"/>
        <w:ind w:right="-79"/>
        <w:rPr>
          <w:rFonts w:ascii="宋体" w:hAnsi="宋体" w:cs="宋体"/>
          <w:b/>
          <w:color w:val="auto"/>
          <w:highlight w:val="none"/>
        </w:rPr>
      </w:pPr>
      <w:r>
        <w:rPr>
          <w:rFonts w:hint="eastAsia" w:ascii="宋体" w:hAnsi="宋体" w:cs="宋体"/>
          <w:b/>
          <w:color w:val="auto"/>
          <w:highlight w:val="none"/>
        </w:rPr>
        <w:t>十一、违约责任</w:t>
      </w:r>
    </w:p>
    <w:p>
      <w:pPr>
        <w:autoSpaceDE w:val="0"/>
        <w:autoSpaceDN w:val="0"/>
        <w:ind w:right="-79" w:firstLine="424" w:firstLineChars="202"/>
        <w:rPr>
          <w:rFonts w:ascii="宋体" w:hAnsi="宋体" w:cs="宋体"/>
          <w:color w:val="auto"/>
          <w:highlight w:val="none"/>
        </w:rPr>
      </w:pPr>
      <w:r>
        <w:rPr>
          <w:rFonts w:hint="eastAsia" w:ascii="宋体" w:hAnsi="宋体" w:cs="宋体"/>
          <w:color w:val="auto"/>
          <w:highlight w:val="none"/>
        </w:rPr>
        <w:t>1、乙方逾期交货的，每逾期一日承担本合同总金额千分之一的违约金，逾期超过三日的，甲方有权解除合同，乙方除返还甲方已支付的货款外，承担本合同总金额20%的违约金，违约金不足以弥补甲方实际损失的，赔偿甲方实际损失，损失包括但不限于：甲方的直接经济损失、预期利润损失，由此导致甲方向业主承担的违约金、赔偿金，因实现债权而产生的律师费、诉讼费、差旅费等。</w:t>
      </w:r>
    </w:p>
    <w:p>
      <w:pPr>
        <w:autoSpaceDE w:val="0"/>
        <w:autoSpaceDN w:val="0"/>
        <w:ind w:right="-79" w:firstLine="424" w:firstLineChars="202"/>
        <w:rPr>
          <w:rFonts w:ascii="宋体" w:hAnsi="宋体" w:cs="宋体"/>
          <w:color w:val="auto"/>
          <w:highlight w:val="none"/>
        </w:rPr>
      </w:pPr>
      <w:r>
        <w:rPr>
          <w:rFonts w:hint="eastAsia" w:ascii="宋体" w:hAnsi="宋体" w:cs="宋体"/>
          <w:color w:val="auto"/>
          <w:highlight w:val="none"/>
        </w:rPr>
        <w:t>2、乙方交付的产品不符合本合同约定的质量或技术标准的，乙方应当进行维修或更换，由此导致甲方不能正常使用而给甲方造成的损失，由乙方承担。经乙方维修或更换仍然不符合合同约定的，甲方有权解除合同，乙方除返还甲方已支付的货款外，承担本合同总金额20%的违约金，违约金不足以弥补甲方实际损失的，赔偿甲方实际损失，损失包括但不限于：甲方的直接经济损失、预期利润损失，由此导致甲方向业主承担的违约金、赔偿金，因实现债权而产生的律师费、诉讼费、差旅费等。</w:t>
      </w:r>
    </w:p>
    <w:p>
      <w:pPr>
        <w:autoSpaceDE w:val="0"/>
        <w:autoSpaceDN w:val="0"/>
        <w:ind w:right="-79" w:firstLine="424" w:firstLineChars="202"/>
        <w:rPr>
          <w:rFonts w:ascii="宋体" w:hAnsi="宋体" w:cs="宋体"/>
          <w:color w:val="auto"/>
          <w:highlight w:val="none"/>
        </w:rPr>
      </w:pPr>
      <w:r>
        <w:rPr>
          <w:rFonts w:hint="eastAsia" w:ascii="宋体" w:hAnsi="宋体" w:cs="宋体"/>
          <w:color w:val="auto"/>
          <w:highlight w:val="none"/>
        </w:rPr>
        <w:t>3、若乙方未按本合同约定履行售后服务的，甲方有权按次收取1000元违约金，且有权自行或委托第三方处理产品故障，由此产生的费用由乙方承担，甲方有权从质保金中扣除该前述费用，不足部分乙方应当另行支付甲方，违约金不足以弥补甲方损失的，应当承担赔偿责任。</w:t>
      </w:r>
    </w:p>
    <w:p>
      <w:pPr>
        <w:autoSpaceDE w:val="0"/>
        <w:autoSpaceDN w:val="0"/>
        <w:ind w:right="-79" w:firstLine="424" w:firstLineChars="202"/>
        <w:rPr>
          <w:rFonts w:ascii="宋体" w:hAnsi="宋体" w:cs="宋体"/>
          <w:color w:val="auto"/>
          <w:highlight w:val="none"/>
        </w:rPr>
      </w:pPr>
      <w:r>
        <w:rPr>
          <w:rFonts w:hint="eastAsia" w:ascii="宋体" w:hAnsi="宋体" w:cs="宋体"/>
          <w:color w:val="auto"/>
          <w:highlight w:val="none"/>
        </w:rPr>
        <w:t>4、本合同生效后，除非经法定或约定情形，任何一方均不得擅自解除合同，否则，违约方应当向守约方承担本合同总金额20%的违约金，乙方擅自解除合同的，还应当返还甲方已支付全部价款，违约金不足以弥补实际损失的，赔偿实际损失。</w:t>
      </w:r>
    </w:p>
    <w:p>
      <w:pPr>
        <w:rPr>
          <w:rFonts w:ascii="宋体" w:hAnsi="宋体" w:cs="宋体"/>
          <w:b/>
          <w:color w:val="auto"/>
          <w:highlight w:val="none"/>
        </w:rPr>
      </w:pPr>
      <w:r>
        <w:rPr>
          <w:rFonts w:hint="eastAsia" w:ascii="宋体" w:hAnsi="宋体" w:cs="宋体"/>
          <w:b/>
          <w:color w:val="auto"/>
          <w:highlight w:val="none"/>
        </w:rPr>
        <w:t xml:space="preserve">十二、争议和仲裁： </w:t>
      </w:r>
    </w:p>
    <w:p>
      <w:pPr>
        <w:autoSpaceDE w:val="0"/>
        <w:autoSpaceDN w:val="0"/>
        <w:ind w:right="-82" w:firstLine="424" w:firstLineChars="202"/>
        <w:rPr>
          <w:rFonts w:ascii="宋体" w:hAnsi="宋体" w:cs="宋体"/>
          <w:color w:val="auto"/>
          <w:highlight w:val="none"/>
        </w:rPr>
      </w:pPr>
      <w:r>
        <w:rPr>
          <w:rFonts w:hint="eastAsia" w:ascii="宋体" w:hAnsi="宋体" w:cs="宋体"/>
          <w:color w:val="auto"/>
          <w:highlight w:val="none"/>
        </w:rPr>
        <w:t>1、对于本合同项下发生的任何争议，甲乙双方首先应本着平等友好的原则协商解决，协商不成时，双方同意将争议提交甲方所在地人民法院起诉。</w:t>
      </w:r>
    </w:p>
    <w:p>
      <w:pPr>
        <w:autoSpaceDE w:val="0"/>
        <w:autoSpaceDN w:val="0"/>
        <w:spacing w:line="360" w:lineRule="atLeast"/>
        <w:ind w:right="-82" w:firstLine="424" w:firstLineChars="202"/>
        <w:rPr>
          <w:rFonts w:ascii="宋体" w:hAnsi="宋体" w:cs="宋体"/>
          <w:color w:val="auto"/>
          <w:highlight w:val="none"/>
        </w:rPr>
      </w:pPr>
      <w:r>
        <w:rPr>
          <w:rFonts w:hint="eastAsia" w:ascii="宋体" w:hAnsi="宋体" w:cs="宋体"/>
          <w:color w:val="auto"/>
          <w:highlight w:val="none"/>
        </w:rPr>
        <w:t>2、争议未解决期间，除争议事项外，各方应继续履行本合同规定的其它条款。</w:t>
      </w:r>
    </w:p>
    <w:p>
      <w:pPr>
        <w:spacing w:line="440" w:lineRule="atLeast"/>
        <w:rPr>
          <w:rFonts w:ascii="宋体" w:hAnsi="宋体" w:cs="宋体"/>
          <w:b/>
          <w:color w:val="auto"/>
          <w:highlight w:val="none"/>
        </w:rPr>
      </w:pPr>
      <w:r>
        <w:rPr>
          <w:rFonts w:hint="eastAsia" w:ascii="宋体" w:hAnsi="宋体" w:cs="宋体"/>
          <w:b/>
          <w:color w:val="auto"/>
          <w:highlight w:val="none"/>
        </w:rPr>
        <w:t>十三、合同份数</w:t>
      </w:r>
    </w:p>
    <w:p>
      <w:pPr>
        <w:autoSpaceDE w:val="0"/>
        <w:autoSpaceDN w:val="0"/>
        <w:spacing w:line="360" w:lineRule="atLeast"/>
        <w:ind w:right="-82" w:firstLine="424" w:firstLineChars="202"/>
        <w:rPr>
          <w:rFonts w:ascii="宋体" w:hAnsi="宋体" w:cs="宋体"/>
          <w:color w:val="auto"/>
          <w:highlight w:val="none"/>
        </w:rPr>
      </w:pPr>
      <w:r>
        <w:rPr>
          <w:rFonts w:hint="eastAsia" w:ascii="宋体" w:hAnsi="宋体" w:cs="宋体"/>
          <w:color w:val="auto"/>
          <w:highlight w:val="none"/>
        </w:rPr>
        <w:t>本合同连同附件一式五份，甲方三份，乙方二份；各份合同文本具有相同之法律效力。本合同附件为合同的一部分，具有同等的法律效力。</w:t>
      </w:r>
    </w:p>
    <w:p>
      <w:pPr>
        <w:spacing w:line="440" w:lineRule="atLeast"/>
        <w:rPr>
          <w:rFonts w:ascii="宋体" w:hAnsi="宋体" w:cs="宋体"/>
          <w:b/>
          <w:color w:val="auto"/>
          <w:highlight w:val="none"/>
        </w:rPr>
      </w:pPr>
      <w:r>
        <w:rPr>
          <w:rFonts w:hint="eastAsia" w:ascii="宋体" w:hAnsi="宋体" w:cs="宋体"/>
          <w:b/>
          <w:color w:val="auto"/>
          <w:highlight w:val="none"/>
        </w:rPr>
        <w:t>十四、本合同签字盖章后生效。</w:t>
      </w:r>
    </w:p>
    <w:p>
      <w:pPr>
        <w:spacing w:line="360" w:lineRule="exact"/>
        <w:rPr>
          <w:rFonts w:ascii="宋体" w:hAnsi="宋体" w:cs="宋体"/>
          <w:color w:val="auto"/>
          <w:highlight w:val="none"/>
        </w:rPr>
      </w:pPr>
    </w:p>
    <w:p>
      <w:pPr>
        <w:spacing w:line="360" w:lineRule="exact"/>
        <w:rPr>
          <w:rFonts w:ascii="宋体" w:hAnsi="宋体" w:cs="宋体"/>
          <w:color w:val="auto"/>
          <w:highlight w:val="none"/>
        </w:rPr>
      </w:pPr>
      <w:r>
        <w:rPr>
          <w:rFonts w:hint="eastAsia" w:ascii="宋体" w:hAnsi="宋体" w:cs="宋体"/>
          <w:color w:val="auto"/>
          <w:highlight w:val="none"/>
        </w:rPr>
        <w:t>（以下无正文）</w:t>
      </w:r>
    </w:p>
    <w:p>
      <w:pPr>
        <w:spacing w:line="360" w:lineRule="exact"/>
        <w:rPr>
          <w:rFonts w:ascii="宋体" w:hAnsi="宋体" w:cs="宋体"/>
          <w:color w:val="auto"/>
          <w:highlight w:val="none"/>
        </w:rPr>
      </w:pPr>
    </w:p>
    <w:p>
      <w:pPr>
        <w:spacing w:line="360" w:lineRule="exact"/>
        <w:rPr>
          <w:rFonts w:ascii="宋体" w:hAnsi="宋体" w:cs="宋体"/>
          <w:color w:val="auto"/>
          <w:highlight w:val="none"/>
        </w:rPr>
      </w:pPr>
      <w:r>
        <w:rPr>
          <w:rFonts w:hint="eastAsia" w:ascii="宋体" w:hAnsi="宋体" w:cs="宋体"/>
          <w:color w:val="auto"/>
          <w:highlight w:val="none"/>
        </w:rPr>
        <w:t>甲  方：</w:t>
      </w:r>
      <w:r>
        <w:rPr>
          <w:rFonts w:hint="eastAsia" w:ascii="宋体" w:hAnsi="宋体" w:cs="宋体"/>
          <w:color w:val="auto"/>
          <w:highlight w:val="none"/>
          <w:u w:val="single"/>
        </w:rPr>
        <w:t>四川智慧高速科技有限公司</w:t>
      </w:r>
      <w:r>
        <w:rPr>
          <w:rFonts w:hint="eastAsia" w:ascii="宋体" w:hAnsi="宋体" w:cs="宋体"/>
          <w:color w:val="auto"/>
          <w:highlight w:val="none"/>
        </w:rPr>
        <w:t xml:space="preserve">                乙  方：</w:t>
      </w:r>
      <w:r>
        <w:rPr>
          <w:rFonts w:hint="eastAsia" w:ascii="宋体" w:hAnsi="宋体" w:cs="宋体"/>
          <w:color w:val="auto"/>
          <w:highlight w:val="none"/>
          <w:u w:val="single"/>
        </w:rPr>
        <w:t xml:space="preserve">XXXXXXX               </w:t>
      </w:r>
    </w:p>
    <w:p>
      <w:pPr>
        <w:spacing w:line="360" w:lineRule="exact"/>
        <w:rPr>
          <w:rFonts w:ascii="宋体" w:hAnsi="宋体" w:cs="宋体"/>
          <w:color w:val="auto"/>
          <w:highlight w:val="none"/>
        </w:rPr>
      </w:pPr>
      <w:r>
        <w:rPr>
          <w:rFonts w:hint="eastAsia" w:ascii="宋体" w:hAnsi="宋体" w:cs="宋体"/>
          <w:color w:val="auto"/>
          <w:highlight w:val="none"/>
        </w:rPr>
        <w:t xml:space="preserve">                （盖章）                                          （盖章）</w:t>
      </w:r>
    </w:p>
    <w:p>
      <w:pPr>
        <w:spacing w:line="360" w:lineRule="exact"/>
        <w:rPr>
          <w:rFonts w:ascii="宋体" w:hAnsi="宋体" w:cs="宋体"/>
          <w:color w:val="auto"/>
          <w:highlight w:val="none"/>
        </w:rPr>
      </w:pPr>
      <w:r>
        <w:rPr>
          <w:rFonts w:hint="eastAsia" w:ascii="宋体" w:hAnsi="宋体" w:cs="宋体"/>
          <w:color w:val="auto"/>
          <w:highlight w:val="none"/>
        </w:rPr>
        <w:t>代  表（签字）：</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代  表（签字）：</w:t>
      </w:r>
      <w:r>
        <w:rPr>
          <w:rFonts w:hint="eastAsia" w:ascii="宋体" w:hAnsi="宋体" w:cs="宋体"/>
          <w:color w:val="auto"/>
          <w:highlight w:val="none"/>
          <w:u w:val="single"/>
        </w:rPr>
        <w:t xml:space="preserve"> XXXXXXXXXXX </w:t>
      </w:r>
    </w:p>
    <w:p>
      <w:pPr>
        <w:spacing w:line="360" w:lineRule="exact"/>
        <w:rPr>
          <w:rFonts w:ascii="宋体" w:hAnsi="宋体" w:cs="宋体"/>
          <w:color w:val="auto"/>
          <w:highlight w:val="none"/>
        </w:rPr>
      </w:pPr>
      <w:r>
        <w:rPr>
          <w:rFonts w:hint="eastAsia" w:ascii="宋体" w:hAnsi="宋体" w:cs="宋体"/>
          <w:color w:val="auto"/>
          <w:highlight w:val="none"/>
        </w:rPr>
        <w:t>通讯地址：</w:t>
      </w:r>
      <w:r>
        <w:rPr>
          <w:rFonts w:hint="eastAsia" w:ascii="宋体" w:hAnsi="宋体" w:cs="宋体"/>
          <w:color w:val="auto"/>
          <w:highlight w:val="none"/>
          <w:u w:val="single"/>
        </w:rPr>
        <w:t xml:space="preserve">成都高新区萃华路89号     </w:t>
      </w:r>
      <w:r>
        <w:rPr>
          <w:rFonts w:hint="eastAsia" w:ascii="宋体" w:hAnsi="宋体" w:cs="宋体"/>
          <w:color w:val="auto"/>
          <w:highlight w:val="none"/>
        </w:rPr>
        <w:t xml:space="preserve">           地  址： </w:t>
      </w:r>
      <w:r>
        <w:rPr>
          <w:rFonts w:hint="eastAsia" w:ascii="宋体" w:hAnsi="宋体" w:cs="宋体"/>
          <w:color w:val="auto"/>
          <w:highlight w:val="none"/>
          <w:u w:val="single"/>
        </w:rPr>
        <w:t xml:space="preserve">XXXXXXXXXXX         </w:t>
      </w:r>
    </w:p>
    <w:p>
      <w:pPr>
        <w:spacing w:line="360" w:lineRule="exact"/>
        <w:ind w:firstLine="1050" w:firstLineChars="500"/>
        <w:rPr>
          <w:rFonts w:ascii="宋体" w:hAnsi="宋体" w:cs="宋体"/>
          <w:color w:val="auto"/>
          <w:highlight w:val="none"/>
          <w:u w:val="single"/>
        </w:rPr>
      </w:pPr>
      <w:r>
        <w:rPr>
          <w:rFonts w:hint="eastAsia" w:ascii="宋体" w:hAnsi="宋体" w:cs="宋体"/>
          <w:color w:val="auto"/>
          <w:highlight w:val="none"/>
          <w:u w:val="single"/>
        </w:rPr>
        <w:t>成都国际节能大厦A座</w:t>
      </w:r>
      <w:r>
        <w:rPr>
          <w:rFonts w:hint="eastAsia" w:ascii="宋体" w:hAnsi="宋体" w:cs="宋体"/>
          <w:color w:val="auto"/>
          <w:highlight w:val="none"/>
          <w:u w:val="single"/>
          <w:lang w:val="en-US" w:eastAsia="zh-CN"/>
        </w:rPr>
        <w:t>10</w:t>
      </w:r>
      <w:r>
        <w:rPr>
          <w:rFonts w:hint="eastAsia" w:ascii="宋体" w:hAnsi="宋体" w:cs="宋体"/>
          <w:color w:val="auto"/>
          <w:highlight w:val="none"/>
          <w:u w:val="single"/>
        </w:rPr>
        <w:t xml:space="preserve">楼 </w:t>
      </w:r>
    </w:p>
    <w:p>
      <w:pPr>
        <w:spacing w:line="360" w:lineRule="exact"/>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rPr>
        <w:t xml:space="preserve"> 028-85525407、028-85525406 </w:t>
      </w:r>
      <w:r>
        <w:rPr>
          <w:rFonts w:hint="eastAsia" w:ascii="宋体" w:hAnsi="宋体" w:cs="宋体"/>
          <w:color w:val="auto"/>
          <w:highlight w:val="none"/>
        </w:rPr>
        <w:t xml:space="preserve">            电  话：</w:t>
      </w:r>
      <w:r>
        <w:rPr>
          <w:rFonts w:hint="eastAsia" w:ascii="宋体" w:hAnsi="宋体" w:cs="宋体"/>
          <w:color w:val="auto"/>
          <w:highlight w:val="none"/>
          <w:u w:val="single"/>
        </w:rPr>
        <w:t xml:space="preserve"> XXXXXXXX             </w:t>
      </w:r>
    </w:p>
    <w:p>
      <w:pPr>
        <w:spacing w:line="360" w:lineRule="exact"/>
        <w:rPr>
          <w:rFonts w:ascii="宋体" w:hAnsi="宋体" w:cs="宋体"/>
          <w:color w:val="auto"/>
          <w:highlight w:val="none"/>
          <w:u w:val="single"/>
        </w:rPr>
      </w:pPr>
      <w:r>
        <w:rPr>
          <w:rFonts w:hint="eastAsia" w:ascii="宋体" w:hAnsi="宋体" w:cs="宋体"/>
          <w:color w:val="auto"/>
          <w:highlight w:val="none"/>
        </w:rPr>
        <w:t xml:space="preserve">传  真： </w:t>
      </w:r>
      <w:r>
        <w:rPr>
          <w:rFonts w:hint="eastAsia" w:ascii="宋体" w:hAnsi="宋体" w:cs="宋体"/>
          <w:color w:val="auto"/>
          <w:highlight w:val="none"/>
          <w:u w:val="single"/>
        </w:rPr>
        <w:t xml:space="preserve">028-85527031               </w:t>
      </w:r>
      <w:r>
        <w:rPr>
          <w:rFonts w:hint="eastAsia" w:ascii="宋体" w:hAnsi="宋体" w:cs="宋体"/>
          <w:color w:val="auto"/>
          <w:highlight w:val="none"/>
        </w:rPr>
        <w:t xml:space="preserve">            传  真：</w:t>
      </w:r>
      <w:r>
        <w:rPr>
          <w:rFonts w:hint="eastAsia" w:ascii="宋体" w:hAnsi="宋体" w:cs="宋体"/>
          <w:color w:val="auto"/>
          <w:highlight w:val="none"/>
          <w:u w:val="single"/>
        </w:rPr>
        <w:t xml:space="preserve"> XXXXXXXXXXX        </w:t>
      </w:r>
    </w:p>
    <w:p>
      <w:pPr>
        <w:spacing w:line="360" w:lineRule="exact"/>
        <w:rPr>
          <w:rFonts w:ascii="宋体" w:hAnsi="宋体" w:cs="宋体"/>
          <w:color w:val="auto"/>
          <w:highlight w:val="none"/>
          <w:u w:val="single"/>
        </w:rPr>
      </w:pPr>
      <w:r>
        <w:rPr>
          <w:rFonts w:hint="eastAsia" w:ascii="宋体" w:hAnsi="宋体" w:cs="宋体"/>
          <w:color w:val="auto"/>
          <w:highlight w:val="none"/>
        </w:rPr>
        <w:t xml:space="preserve">                                                开户银行：</w:t>
      </w:r>
      <w:r>
        <w:rPr>
          <w:rFonts w:hint="eastAsia" w:ascii="宋体" w:hAnsi="宋体" w:cs="宋体"/>
          <w:color w:val="auto"/>
          <w:highlight w:val="none"/>
          <w:u w:val="single"/>
        </w:rPr>
        <w:t xml:space="preserve">XXXXXXXXXXXXXX  </w:t>
      </w:r>
    </w:p>
    <w:p>
      <w:pPr>
        <w:spacing w:line="360" w:lineRule="exact"/>
        <w:rPr>
          <w:rFonts w:ascii="宋体" w:hAnsi="宋体" w:cs="宋体"/>
          <w:color w:val="auto"/>
          <w:highlight w:val="none"/>
          <w:u w:val="single"/>
        </w:rPr>
      </w:pPr>
      <w:r>
        <w:rPr>
          <w:rFonts w:hint="eastAsia" w:ascii="宋体" w:hAnsi="宋体" w:cs="宋体"/>
          <w:color w:val="auto"/>
          <w:highlight w:val="none"/>
        </w:rPr>
        <w:t xml:space="preserve">                                                帐  号：</w:t>
      </w:r>
      <w:r>
        <w:rPr>
          <w:rFonts w:hint="eastAsia" w:ascii="宋体" w:hAnsi="宋体" w:cs="宋体"/>
          <w:color w:val="auto"/>
          <w:highlight w:val="none"/>
          <w:u w:val="single"/>
        </w:rPr>
        <w:t xml:space="preserve">XXXXXXXXXXXXX      </w:t>
      </w:r>
    </w:p>
    <w:p>
      <w:pPr>
        <w:spacing w:line="360" w:lineRule="exact"/>
        <w:rPr>
          <w:rFonts w:ascii="宋体" w:hAnsi="宋体" w:cs="宋体"/>
          <w:color w:val="auto"/>
          <w:highlight w:val="none"/>
        </w:rPr>
      </w:pPr>
      <w:r>
        <w:rPr>
          <w:rFonts w:hint="eastAsia" w:ascii="宋体" w:hAnsi="宋体" w:cs="宋体"/>
          <w:color w:val="auto"/>
          <w:highlight w:val="none"/>
        </w:rPr>
        <w:t>邮  编：</w:t>
      </w:r>
      <w:r>
        <w:rPr>
          <w:rFonts w:hint="eastAsia" w:ascii="宋体" w:hAnsi="宋体" w:cs="宋体"/>
          <w:color w:val="auto"/>
          <w:highlight w:val="none"/>
          <w:u w:val="single"/>
        </w:rPr>
        <w:t xml:space="preserve">610041                      </w:t>
      </w:r>
      <w:r>
        <w:rPr>
          <w:rFonts w:hint="eastAsia" w:ascii="宋体" w:hAnsi="宋体" w:cs="宋体"/>
          <w:color w:val="auto"/>
          <w:highlight w:val="none"/>
        </w:rPr>
        <w:t xml:space="preserve">            邮  编：</w:t>
      </w:r>
      <w:r>
        <w:rPr>
          <w:rFonts w:hint="eastAsia" w:ascii="宋体" w:hAnsi="宋体" w:cs="宋体"/>
          <w:color w:val="auto"/>
          <w:highlight w:val="none"/>
          <w:u w:val="single"/>
        </w:rPr>
        <w:t xml:space="preserve"> XXXXXXXXXX         </w:t>
      </w:r>
    </w:p>
    <w:p>
      <w:pPr>
        <w:spacing w:line="360" w:lineRule="exact"/>
        <w:rPr>
          <w:rFonts w:ascii="宋体" w:hAnsi="宋体" w:cs="宋体"/>
          <w:color w:val="auto"/>
          <w:highlight w:val="none"/>
          <w:u w:val="single"/>
        </w:rPr>
      </w:pPr>
      <w:r>
        <w:rPr>
          <w:rFonts w:hint="eastAsia" w:ascii="宋体" w:hAnsi="宋体" w:cs="宋体"/>
          <w:color w:val="auto"/>
          <w:highlight w:val="none"/>
        </w:rPr>
        <w:t>日  期：</w:t>
      </w:r>
      <w:r>
        <w:rPr>
          <w:rFonts w:hint="eastAsia" w:ascii="宋体" w:hAnsi="宋体" w:cs="宋体"/>
          <w:color w:val="auto"/>
          <w:highlight w:val="none"/>
          <w:u w:val="single"/>
        </w:rPr>
        <w:t xml:space="preserve">     年   月   日           </w:t>
      </w:r>
      <w:r>
        <w:rPr>
          <w:rFonts w:hint="eastAsia" w:ascii="宋体" w:hAnsi="宋体" w:cs="宋体"/>
          <w:color w:val="auto"/>
          <w:highlight w:val="none"/>
        </w:rPr>
        <w:t xml:space="preserve">            日  期：</w:t>
      </w:r>
      <w:r>
        <w:rPr>
          <w:rFonts w:hint="eastAsia" w:ascii="宋体" w:hAnsi="宋体" w:cs="宋体"/>
          <w:color w:val="auto"/>
          <w:highlight w:val="none"/>
          <w:u w:val="single"/>
        </w:rPr>
        <w:t xml:space="preserve">     年   月    日      </w:t>
      </w:r>
    </w:p>
    <w:p>
      <w:pPr>
        <w:spacing w:line="360" w:lineRule="exact"/>
        <w:rPr>
          <w:rFonts w:ascii="宋体" w:hAnsi="宋体" w:cs="宋体"/>
          <w:color w:val="auto"/>
          <w:highlight w:val="none"/>
          <w:u w:val="single"/>
        </w:rPr>
      </w:pPr>
    </w:p>
    <w:p>
      <w:pPr>
        <w:spacing w:line="360" w:lineRule="exact"/>
        <w:rPr>
          <w:rFonts w:ascii="宋体" w:hAnsi="宋体" w:cs="宋体"/>
          <w:color w:val="auto"/>
          <w:highlight w:val="none"/>
          <w:u w:val="single"/>
        </w:rPr>
      </w:pPr>
    </w:p>
    <w:p>
      <w:pPr>
        <w:adjustRightInd w:val="0"/>
        <w:snapToGrid w:val="0"/>
        <w:ind w:firstLine="420"/>
        <w:rPr>
          <w:rFonts w:ascii="宋体" w:hAnsi="宋体" w:cs="宋体"/>
          <w:color w:val="auto"/>
          <w:szCs w:val="21"/>
          <w:highlight w:val="none"/>
        </w:rPr>
      </w:pPr>
      <w:r>
        <w:rPr>
          <w:rFonts w:hint="eastAsia" w:ascii="宋体" w:hAnsi="宋体" w:cs="宋体"/>
          <w:color w:val="auto"/>
          <w:szCs w:val="21"/>
          <w:highlight w:val="none"/>
        </w:rPr>
        <w:br w:type="page"/>
      </w:r>
    </w:p>
    <w:bookmarkEnd w:id="165"/>
    <w:bookmarkEnd w:id="166"/>
    <w:bookmarkEnd w:id="167"/>
    <w:bookmarkEnd w:id="168"/>
    <w:p>
      <w:pPr>
        <w:pStyle w:val="4"/>
        <w:jc w:val="center"/>
        <w:rPr>
          <w:rFonts w:ascii="宋体" w:hAnsi="宋体" w:eastAsia="宋体" w:cs="宋体"/>
          <w:b/>
          <w:bCs/>
          <w:color w:val="auto"/>
          <w:sz w:val="36"/>
          <w:szCs w:val="36"/>
          <w:highlight w:val="none"/>
        </w:rPr>
      </w:pPr>
      <w:bookmarkStart w:id="185" w:name="_Toc55"/>
      <w:bookmarkStart w:id="186" w:name="_Toc17417"/>
      <w:bookmarkStart w:id="187" w:name="_Toc247085853"/>
      <w:bookmarkStart w:id="188" w:name="_Toc246997081"/>
      <w:bookmarkStart w:id="189" w:name="_Toc246996338"/>
      <w:bookmarkStart w:id="190" w:name="_Toc179632787"/>
      <w:bookmarkStart w:id="191" w:name="_Toc152042549"/>
      <w:bookmarkStart w:id="192" w:name="_Toc144974829"/>
      <w:r>
        <w:rPr>
          <w:rFonts w:hint="eastAsia" w:ascii="宋体" w:hAnsi="宋体" w:eastAsia="宋体" w:cs="宋体"/>
          <w:b/>
          <w:bCs/>
          <w:color w:val="auto"/>
          <w:sz w:val="36"/>
          <w:szCs w:val="36"/>
          <w:highlight w:val="none"/>
        </w:rPr>
        <w:t>第五章 供货要求</w:t>
      </w:r>
      <w:bookmarkEnd w:id="185"/>
      <w:bookmarkEnd w:id="186"/>
    </w:p>
    <w:p>
      <w:pPr>
        <w:topLinePunct/>
        <w:spacing w:line="440" w:lineRule="exact"/>
        <w:ind w:firstLine="420"/>
        <w:jc w:val="center"/>
        <w:rPr>
          <w:rFonts w:ascii="宋体" w:hAnsi="宋体" w:cs="宋体"/>
          <w:color w:val="auto"/>
          <w:highlight w:val="none"/>
        </w:rPr>
      </w:pPr>
    </w:p>
    <w:p>
      <w:pPr>
        <w:spacing w:line="400" w:lineRule="exact"/>
        <w:ind w:firstLine="420"/>
        <w:jc w:val="center"/>
        <w:rPr>
          <w:rFonts w:ascii="宋体" w:hAnsi="宋体" w:cs="宋体"/>
          <w:color w:val="auto"/>
          <w:highlight w:val="none"/>
        </w:rPr>
      </w:pPr>
      <w:r>
        <w:rPr>
          <w:rFonts w:hint="eastAsia" w:ascii="宋体" w:hAnsi="宋体" w:cs="宋体"/>
          <w:color w:val="auto"/>
          <w:highlight w:val="none"/>
        </w:rPr>
        <w:br w:type="page"/>
      </w:r>
    </w:p>
    <w:bookmarkEnd w:id="187"/>
    <w:bookmarkEnd w:id="188"/>
    <w:bookmarkEnd w:id="189"/>
    <w:bookmarkEnd w:id="190"/>
    <w:p>
      <w:pPr>
        <w:spacing w:line="4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供货要求</w:t>
      </w:r>
    </w:p>
    <w:p>
      <w:pPr>
        <w:spacing w:line="400" w:lineRule="exact"/>
        <w:jc w:val="center"/>
        <w:rPr>
          <w:rFonts w:ascii="宋体" w:hAnsi="宋体" w:cs="宋体"/>
          <w:b/>
          <w:color w:val="auto"/>
          <w:sz w:val="32"/>
          <w:szCs w:val="32"/>
          <w:highlight w:val="none"/>
        </w:rPr>
      </w:pPr>
    </w:p>
    <w:p>
      <w:pPr>
        <w:pStyle w:val="5"/>
        <w:rPr>
          <w:rFonts w:ascii="宋体" w:hAnsi="宋体" w:eastAsia="宋体" w:cs="宋体"/>
          <w:color w:val="auto"/>
          <w:highlight w:val="none"/>
        </w:rPr>
      </w:pPr>
      <w:bookmarkStart w:id="193" w:name="_Toc491883223"/>
      <w:r>
        <w:rPr>
          <w:rFonts w:hint="eastAsia" w:ascii="宋体" w:hAnsi="宋体" w:eastAsia="宋体" w:cs="宋体"/>
          <w:color w:val="auto"/>
          <w:highlight w:val="none"/>
        </w:rPr>
        <w:t>一、项目概况及总体要求</w:t>
      </w:r>
      <w:bookmarkEnd w:id="193"/>
    </w:p>
    <w:p>
      <w:pPr>
        <w:pStyle w:val="19"/>
        <w:spacing w:after="0"/>
        <w:ind w:firstLine="420" w:firstLineChars="200"/>
        <w:jc w:val="both"/>
        <w:rPr>
          <w:rFonts w:ascii="宋体" w:hAnsi="宋体" w:cs="宋体"/>
          <w:color w:val="auto"/>
          <w:szCs w:val="24"/>
          <w:highlight w:val="none"/>
        </w:rPr>
      </w:pPr>
      <w:bookmarkStart w:id="194" w:name="_Toc491883224"/>
      <w:r>
        <w:rPr>
          <w:rFonts w:hint="eastAsia" w:ascii="宋体" w:hAnsi="宋体" w:cs="宋体"/>
          <w:color w:val="auto"/>
          <w:szCs w:val="24"/>
          <w:highlight w:val="none"/>
        </w:rPr>
        <w:t>1、项目概况：</w:t>
      </w:r>
    </w:p>
    <w:p>
      <w:pPr>
        <w:pStyle w:val="19"/>
        <w:spacing w:after="0"/>
        <w:ind w:firstLine="420" w:firstLineChars="200"/>
        <w:jc w:val="both"/>
        <w:rPr>
          <w:rFonts w:ascii="宋体" w:hAnsi="宋体" w:cs="宋体"/>
          <w:color w:val="auto"/>
          <w:szCs w:val="24"/>
          <w:highlight w:val="none"/>
        </w:rPr>
      </w:pPr>
      <w:r>
        <w:rPr>
          <w:rFonts w:hint="eastAsia" w:ascii="宋体" w:hAnsi="宋体" w:cs="宋体"/>
          <w:color w:val="auto"/>
          <w:szCs w:val="21"/>
          <w:highlight w:val="none"/>
        </w:rPr>
        <w:t>为满足我公司工作需要，</w:t>
      </w:r>
      <w:r>
        <w:rPr>
          <w:rFonts w:hint="eastAsia" w:ascii="宋体" w:hAnsi="宋体" w:cs="宋体"/>
          <w:color w:val="auto"/>
          <w:szCs w:val="21"/>
          <w:highlight w:val="none"/>
          <w:lang w:val="en-US" w:eastAsia="zh-CN"/>
        </w:rPr>
        <w:t>比选人需</w:t>
      </w:r>
      <w:r>
        <w:rPr>
          <w:rFonts w:hint="eastAsia" w:ascii="宋体" w:hAnsi="宋体" w:cs="宋体"/>
          <w:color w:val="auto"/>
          <w:szCs w:val="21"/>
          <w:highlight w:val="none"/>
        </w:rPr>
        <w:t>采购多媒体会议室设备</w:t>
      </w:r>
      <w:r>
        <w:rPr>
          <w:rFonts w:hint="eastAsia" w:ascii="宋体" w:hAnsi="宋体" w:cs="宋体"/>
          <w:color w:val="auto"/>
          <w:szCs w:val="24"/>
          <w:highlight w:val="none"/>
        </w:rPr>
        <w:t>。</w:t>
      </w:r>
    </w:p>
    <w:p>
      <w:pPr>
        <w:pStyle w:val="19"/>
        <w:tabs>
          <w:tab w:val="left" w:pos="2412"/>
        </w:tabs>
        <w:spacing w:after="0"/>
        <w:ind w:firstLine="420" w:firstLineChars="200"/>
        <w:jc w:val="both"/>
        <w:rPr>
          <w:rFonts w:ascii="宋体" w:hAnsi="宋体" w:cs="宋体"/>
          <w:color w:val="auto"/>
          <w:szCs w:val="24"/>
          <w:highlight w:val="none"/>
        </w:rPr>
      </w:pPr>
      <w:r>
        <w:rPr>
          <w:rFonts w:hint="eastAsia" w:ascii="宋体" w:hAnsi="宋体" w:cs="宋体"/>
          <w:color w:val="auto"/>
          <w:szCs w:val="24"/>
          <w:highlight w:val="none"/>
        </w:rPr>
        <w:t>2、比选范围</w:t>
      </w:r>
    </w:p>
    <w:p>
      <w:pPr>
        <w:pStyle w:val="19"/>
        <w:spacing w:after="0"/>
        <w:ind w:firstLine="420" w:firstLineChars="200"/>
        <w:jc w:val="both"/>
        <w:rPr>
          <w:rFonts w:ascii="宋体" w:hAnsi="宋体" w:cs="宋体"/>
          <w:color w:val="auto"/>
          <w:szCs w:val="24"/>
          <w:highlight w:val="none"/>
        </w:rPr>
      </w:pPr>
      <w:r>
        <w:rPr>
          <w:rFonts w:hint="eastAsia" w:ascii="宋体" w:hAnsi="宋体" w:cs="宋体"/>
          <w:color w:val="auto"/>
          <w:szCs w:val="24"/>
          <w:highlight w:val="none"/>
        </w:rPr>
        <w:t>本次比选范围为四川智慧高速科技有限公司</w:t>
      </w:r>
      <w:r>
        <w:rPr>
          <w:rFonts w:hint="eastAsia" w:ascii="宋体" w:hAnsi="宋体"/>
          <w:color w:val="auto"/>
          <w:highlight w:val="none"/>
          <w:u w:val="single"/>
        </w:rPr>
        <w:t>多媒体会议室</w:t>
      </w:r>
      <w:r>
        <w:rPr>
          <w:rFonts w:hint="eastAsia" w:ascii="宋体" w:hAnsi="宋体" w:cs="宋体"/>
          <w:color w:val="auto"/>
          <w:szCs w:val="24"/>
          <w:highlight w:val="none"/>
          <w:u w:val="single"/>
        </w:rPr>
        <w:t>设备</w:t>
      </w:r>
      <w:r>
        <w:rPr>
          <w:rFonts w:hint="eastAsia" w:ascii="宋体" w:hAnsi="宋体" w:cs="宋体"/>
          <w:color w:val="auto"/>
          <w:szCs w:val="24"/>
          <w:highlight w:val="none"/>
        </w:rPr>
        <w:t>的采购，包含设备的供货、运输、交付、安装、软件安装、配置、测试、调试、配合第三方应用软件安装、试运行、培训、验收（完工和交工）和质保期的服务。</w:t>
      </w:r>
    </w:p>
    <w:p>
      <w:pPr>
        <w:pStyle w:val="5"/>
        <w:rPr>
          <w:rFonts w:ascii="宋体" w:hAnsi="宋体" w:eastAsia="宋体" w:cs="宋体"/>
          <w:color w:val="auto"/>
          <w:highlight w:val="none"/>
        </w:rPr>
      </w:pPr>
      <w:r>
        <w:rPr>
          <w:rFonts w:hint="eastAsia" w:ascii="宋体" w:hAnsi="宋体" w:eastAsia="宋体" w:cs="宋体"/>
          <w:color w:val="auto"/>
          <w:highlight w:val="none"/>
        </w:rPr>
        <w:t>二、设备需求一览表</w:t>
      </w:r>
      <w:bookmarkEnd w:id="194"/>
    </w:p>
    <w:p>
      <w:pPr>
        <w:pStyle w:val="19"/>
        <w:spacing w:after="0"/>
        <w:ind w:firstLine="420" w:firstLineChars="200"/>
        <w:jc w:val="both"/>
        <w:rPr>
          <w:rFonts w:ascii="宋体" w:hAnsi="宋体" w:cs="宋体"/>
          <w:color w:val="auto"/>
          <w:szCs w:val="24"/>
          <w:highlight w:val="none"/>
        </w:rPr>
      </w:pPr>
      <w:r>
        <w:rPr>
          <w:rFonts w:hint="eastAsia" w:ascii="宋体" w:hAnsi="宋体" w:cs="宋体"/>
          <w:color w:val="auto"/>
          <w:szCs w:val="24"/>
          <w:highlight w:val="none"/>
        </w:rPr>
        <w:t>主要供货内容见下表：</w:t>
      </w:r>
    </w:p>
    <w:tbl>
      <w:tblPr>
        <w:tblStyle w:val="37"/>
        <w:tblW w:w="9198" w:type="dxa"/>
        <w:tblInd w:w="0" w:type="dxa"/>
        <w:tblLayout w:type="fixed"/>
        <w:tblCellMar>
          <w:top w:w="0" w:type="dxa"/>
          <w:left w:w="0" w:type="dxa"/>
          <w:bottom w:w="0" w:type="dxa"/>
          <w:right w:w="0" w:type="dxa"/>
        </w:tblCellMar>
      </w:tblPr>
      <w:tblGrid>
        <w:gridCol w:w="800"/>
        <w:gridCol w:w="1963"/>
        <w:gridCol w:w="878"/>
        <w:gridCol w:w="965"/>
        <w:gridCol w:w="4592"/>
      </w:tblGrid>
      <w:tr>
        <w:tblPrEx>
          <w:tblCellMar>
            <w:top w:w="0" w:type="dxa"/>
            <w:left w:w="0" w:type="dxa"/>
            <w:bottom w:w="0" w:type="dxa"/>
            <w:right w:w="0" w:type="dxa"/>
          </w:tblCellMar>
        </w:tblPrEx>
        <w:trPr>
          <w:trHeight w:val="378" w:hRule="atLeast"/>
        </w:trPr>
        <w:tc>
          <w:tcPr>
            <w:tcW w:w="8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b/>
                <w:color w:val="auto"/>
                <w:sz w:val="20"/>
                <w:szCs w:val="20"/>
                <w:highlight w:val="none"/>
                <w:lang w:bidi="ar"/>
              </w:rPr>
            </w:pPr>
            <w:r>
              <w:rPr>
                <w:rFonts w:hint="eastAsia" w:ascii="Arial" w:hAnsi="Arial" w:cs="Arial"/>
                <w:b/>
                <w:color w:val="auto"/>
                <w:sz w:val="20"/>
                <w:szCs w:val="20"/>
                <w:highlight w:val="none"/>
                <w:lang w:bidi="ar"/>
              </w:rPr>
              <w:t>标段号</w:t>
            </w:r>
          </w:p>
        </w:tc>
        <w:tc>
          <w:tcPr>
            <w:tcW w:w="19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b/>
                <w:color w:val="auto"/>
                <w:sz w:val="20"/>
                <w:szCs w:val="20"/>
                <w:highlight w:val="none"/>
                <w:lang w:bidi="ar"/>
              </w:rPr>
            </w:pPr>
            <w:r>
              <w:rPr>
                <w:rFonts w:ascii="Arial" w:hAnsi="Arial" w:cs="Arial"/>
                <w:b/>
                <w:color w:val="auto"/>
                <w:sz w:val="20"/>
                <w:szCs w:val="20"/>
                <w:highlight w:val="none"/>
                <w:lang w:bidi="ar"/>
              </w:rPr>
              <w:t>设备材料名称</w:t>
            </w:r>
          </w:p>
        </w:tc>
        <w:tc>
          <w:tcPr>
            <w:tcW w:w="87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b/>
                <w:color w:val="auto"/>
                <w:sz w:val="20"/>
                <w:szCs w:val="20"/>
                <w:highlight w:val="none"/>
                <w:lang w:bidi="ar"/>
              </w:rPr>
            </w:pPr>
            <w:r>
              <w:rPr>
                <w:rFonts w:hint="eastAsia" w:ascii="Arial" w:hAnsi="Arial" w:cs="Arial"/>
                <w:b/>
                <w:color w:val="auto"/>
                <w:sz w:val="20"/>
                <w:szCs w:val="20"/>
                <w:highlight w:val="none"/>
                <w:lang w:bidi="ar"/>
              </w:rPr>
              <w:t>单位</w:t>
            </w:r>
          </w:p>
        </w:tc>
        <w:tc>
          <w:tcPr>
            <w:tcW w:w="9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b/>
                <w:color w:val="auto"/>
                <w:sz w:val="20"/>
                <w:szCs w:val="20"/>
                <w:highlight w:val="none"/>
                <w:lang w:bidi="ar"/>
              </w:rPr>
            </w:pPr>
            <w:r>
              <w:rPr>
                <w:rFonts w:hint="eastAsia" w:ascii="Arial" w:hAnsi="Arial" w:cs="Arial"/>
                <w:b/>
                <w:color w:val="auto"/>
                <w:sz w:val="20"/>
                <w:szCs w:val="20"/>
                <w:highlight w:val="none"/>
                <w:lang w:bidi="ar"/>
              </w:rPr>
              <w:t>数量</w:t>
            </w:r>
          </w:p>
        </w:tc>
        <w:tc>
          <w:tcPr>
            <w:tcW w:w="459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b/>
                <w:color w:val="auto"/>
                <w:sz w:val="20"/>
                <w:szCs w:val="20"/>
                <w:highlight w:val="none"/>
                <w:lang w:bidi="ar"/>
              </w:rPr>
            </w:pPr>
            <w:r>
              <w:rPr>
                <w:rFonts w:ascii="Arial" w:hAnsi="Arial" w:cs="Arial"/>
                <w:b/>
                <w:color w:val="auto"/>
                <w:sz w:val="20"/>
                <w:szCs w:val="20"/>
                <w:highlight w:val="none"/>
                <w:lang w:bidi="ar"/>
              </w:rPr>
              <w:t>到货地点</w:t>
            </w:r>
          </w:p>
        </w:tc>
      </w:tr>
      <w:tr>
        <w:tblPrEx>
          <w:tblCellMar>
            <w:top w:w="0" w:type="dxa"/>
            <w:left w:w="0" w:type="dxa"/>
            <w:bottom w:w="0" w:type="dxa"/>
            <w:right w:w="0" w:type="dxa"/>
          </w:tblCellMar>
        </w:tblPrEx>
        <w:trPr>
          <w:trHeight w:val="1489" w:hRule="atLeast"/>
        </w:trPr>
        <w:tc>
          <w:tcPr>
            <w:tcW w:w="800"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highlight w:val="none"/>
              </w:rPr>
            </w:pPr>
            <w:r>
              <w:rPr>
                <w:rFonts w:hint="eastAsia" w:ascii="宋体" w:hAnsi="宋体" w:cs="宋体"/>
                <w:color w:val="auto"/>
                <w:sz w:val="22"/>
                <w:highlight w:val="none"/>
                <w:lang w:bidi="ar"/>
              </w:rPr>
              <w:t>DMTSB</w:t>
            </w:r>
          </w:p>
        </w:tc>
        <w:tc>
          <w:tcPr>
            <w:tcW w:w="196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多媒体会议室设备</w:t>
            </w:r>
          </w:p>
        </w:tc>
        <w:tc>
          <w:tcPr>
            <w:tcW w:w="87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Cs w:val="21"/>
                <w:highlight w:val="none"/>
              </w:rPr>
            </w:pPr>
            <w:r>
              <w:rPr>
                <w:rStyle w:val="128"/>
                <w:rFonts w:hint="default"/>
                <w:color w:val="auto"/>
                <w:highlight w:val="none"/>
                <w:lang w:bidi="ar"/>
              </w:rPr>
              <w:t>批</w:t>
            </w:r>
          </w:p>
        </w:tc>
        <w:tc>
          <w:tcPr>
            <w:tcW w:w="9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1</w:t>
            </w:r>
          </w:p>
        </w:tc>
        <w:tc>
          <w:tcPr>
            <w:tcW w:w="4592"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bidi="ar"/>
              </w:rPr>
              <w:t>成都市武侯区中海国际中心C座</w:t>
            </w:r>
            <w:r>
              <w:rPr>
                <w:rFonts w:hint="eastAsia" w:ascii="宋体" w:hAnsi="宋体" w:cs="宋体"/>
                <w:color w:val="auto"/>
                <w:sz w:val="20"/>
                <w:szCs w:val="20"/>
                <w:highlight w:val="none"/>
                <w:lang w:val="en-US" w:eastAsia="zh-CN" w:bidi="ar"/>
              </w:rPr>
              <w:t>7楼</w:t>
            </w:r>
          </w:p>
        </w:tc>
      </w:tr>
    </w:tbl>
    <w:p>
      <w:pPr>
        <w:pStyle w:val="19"/>
        <w:ind w:firstLine="420"/>
        <w:rPr>
          <w:rFonts w:ascii="宋体" w:hAnsi="宋体" w:cs="宋体"/>
          <w:b/>
          <w:color w:val="auto"/>
          <w:szCs w:val="24"/>
          <w:highlight w:val="none"/>
        </w:rPr>
      </w:pPr>
      <w:r>
        <w:rPr>
          <w:rFonts w:hint="eastAsia" w:ascii="宋体" w:hAnsi="宋体" w:cs="宋体"/>
          <w:color w:val="auto"/>
          <w:szCs w:val="24"/>
          <w:highlight w:val="none"/>
        </w:rPr>
        <w:t>供货期：供货周期1个月。</w:t>
      </w:r>
      <w:r>
        <w:rPr>
          <w:rFonts w:hint="eastAsia" w:ascii="宋体" w:hAnsi="宋体" w:cs="宋体"/>
          <w:color w:val="auto"/>
          <w:highlight w:val="none"/>
        </w:rPr>
        <w:t>试运行：6个月，质保期：36个月</w:t>
      </w:r>
      <w:r>
        <w:rPr>
          <w:rFonts w:hint="eastAsia" w:ascii="宋体" w:hAnsi="宋体" w:cs="宋体"/>
          <w:color w:val="auto"/>
          <w:szCs w:val="24"/>
          <w:highlight w:val="none"/>
        </w:rPr>
        <w:t>。</w:t>
      </w:r>
    </w:p>
    <w:p>
      <w:pPr>
        <w:pStyle w:val="5"/>
        <w:rPr>
          <w:rFonts w:ascii="宋体" w:hAnsi="宋体" w:eastAsia="宋体" w:cs="宋体"/>
          <w:color w:val="auto"/>
          <w:highlight w:val="none"/>
        </w:rPr>
      </w:pPr>
      <w:bookmarkStart w:id="195" w:name="_Toc491883225"/>
      <w:r>
        <w:rPr>
          <w:rFonts w:hint="eastAsia" w:ascii="宋体" w:hAnsi="宋体" w:eastAsia="宋体" w:cs="宋体"/>
          <w:color w:val="auto"/>
          <w:highlight w:val="none"/>
        </w:rPr>
        <w:t>三、技术性能指标</w:t>
      </w:r>
      <w:bookmarkEnd w:id="195"/>
      <w:r>
        <w:rPr>
          <w:rFonts w:hint="eastAsia" w:ascii="宋体" w:hAnsi="宋体" w:eastAsia="宋体" w:cs="宋体"/>
          <w:color w:val="auto"/>
          <w:highlight w:val="none"/>
        </w:rPr>
        <w:t>要求</w:t>
      </w:r>
    </w:p>
    <w:p>
      <w:pPr>
        <w:pStyle w:val="8"/>
        <w:numPr>
          <w:ilvl w:val="4"/>
          <w:numId w:val="0"/>
        </w:numPr>
        <w:tabs>
          <w:tab w:val="left" w:pos="1276"/>
        </w:tabs>
        <w:autoSpaceDE w:val="0"/>
        <w:autoSpaceDN w:val="0"/>
        <w:adjustRightInd w:val="0"/>
        <w:snapToGrid w:val="0"/>
        <w:spacing w:before="80"/>
        <w:rPr>
          <w:rFonts w:ascii="宋体" w:hAnsi="宋体" w:cs="宋体"/>
          <w:b/>
          <w:bCs/>
          <w:color w:val="auto"/>
          <w:sz w:val="28"/>
          <w:highlight w:val="none"/>
        </w:rPr>
      </w:pPr>
      <w:bookmarkStart w:id="196" w:name="_Toc491883226"/>
      <w:r>
        <w:rPr>
          <w:rFonts w:ascii="宋体" w:hAnsi="宋体" w:cs="宋体"/>
          <w:b/>
          <w:color w:val="auto"/>
          <w:sz w:val="28"/>
          <w:highlight w:val="none"/>
        </w:rPr>
        <w:t>3.</w:t>
      </w:r>
      <w:r>
        <w:rPr>
          <w:rFonts w:hint="eastAsia" w:ascii="宋体" w:hAnsi="宋体" w:cs="宋体"/>
          <w:b/>
          <w:color w:val="auto"/>
          <w:sz w:val="28"/>
          <w:highlight w:val="none"/>
        </w:rPr>
        <w:t>1、小间距LED显示屏</w:t>
      </w:r>
    </w:p>
    <w:p>
      <w:pPr>
        <w:adjustRightInd w:val="0"/>
        <w:snapToGrid w:val="0"/>
        <w:ind w:firstLine="420"/>
        <w:jc w:val="both"/>
        <w:rPr>
          <w:rFonts w:ascii="宋体" w:hAnsi="宋体" w:cs="宋体"/>
          <w:color w:val="auto"/>
          <w:highlight w:val="none"/>
        </w:rPr>
      </w:pPr>
      <w:r>
        <w:rPr>
          <w:rFonts w:hint="eastAsia" w:ascii="宋体" w:hAnsi="宋体" w:cs="宋体"/>
          <w:color w:val="auto"/>
          <w:highlight w:val="none"/>
        </w:rPr>
        <w:t>小间距LED全彩显示系统厂家提供整体解决方案，包括屏体、信号控制器、视频拼接器、控制软件、配电、屏体钢结构、外饰及配套安装材料。</w:t>
      </w:r>
    </w:p>
    <w:p>
      <w:pPr>
        <w:adjustRightInd w:val="0"/>
        <w:snapToGrid w:val="0"/>
        <w:jc w:val="both"/>
        <w:rPr>
          <w:rFonts w:ascii="宋体" w:hAnsi="宋体" w:cs="宋体"/>
          <w:b/>
          <w:bCs/>
          <w:color w:val="auto"/>
          <w:highlight w:val="none"/>
        </w:rPr>
      </w:pPr>
      <w:r>
        <w:rPr>
          <w:rFonts w:hint="eastAsia" w:ascii="宋体" w:hAnsi="宋体" w:cs="宋体"/>
          <w:b/>
          <w:bCs/>
          <w:color w:val="auto"/>
          <w:highlight w:val="none"/>
        </w:rPr>
        <w:t>（1）屏体</w:t>
      </w:r>
    </w:p>
    <w:p>
      <w:pPr>
        <w:adjustRightInd w:val="0"/>
        <w:snapToGrid w:val="0"/>
        <w:ind w:firstLine="420"/>
        <w:jc w:val="both"/>
        <w:rPr>
          <w:rFonts w:ascii="宋体" w:hAnsi="宋体" w:cs="宋体"/>
          <w:color w:val="auto"/>
          <w:highlight w:val="none"/>
        </w:rPr>
      </w:pPr>
      <w:r>
        <w:rPr>
          <w:rFonts w:hint="eastAsia" w:ascii="宋体" w:hAnsi="宋体" w:cs="宋体"/>
          <w:color w:val="auto"/>
          <w:highlight w:val="none"/>
        </w:rPr>
        <w:t>LED表贴三合一；</w:t>
      </w:r>
    </w:p>
    <w:p>
      <w:pPr>
        <w:adjustRightInd w:val="0"/>
        <w:snapToGrid w:val="0"/>
        <w:ind w:firstLine="420"/>
        <w:jc w:val="both"/>
        <w:rPr>
          <w:rFonts w:ascii="宋体" w:hAnsi="宋体" w:cs="宋体"/>
          <w:color w:val="auto"/>
          <w:highlight w:val="none"/>
        </w:rPr>
      </w:pPr>
      <w:r>
        <w:rPr>
          <w:rFonts w:hint="eastAsia" w:ascii="宋体" w:hAnsi="宋体" w:cs="宋体"/>
          <w:color w:val="auto"/>
          <w:highlight w:val="none"/>
        </w:rPr>
        <w:t>全彩色LED；</w:t>
      </w:r>
    </w:p>
    <w:p>
      <w:pPr>
        <w:adjustRightInd w:val="0"/>
        <w:snapToGrid w:val="0"/>
        <w:ind w:firstLine="420"/>
        <w:jc w:val="both"/>
        <w:rPr>
          <w:rFonts w:ascii="宋体" w:hAnsi="宋体" w:cs="宋体"/>
          <w:color w:val="auto"/>
          <w:highlight w:val="none"/>
        </w:rPr>
      </w:pPr>
      <w:r>
        <w:rPr>
          <w:rFonts w:hint="eastAsia" w:ascii="宋体" w:hAnsi="宋体" w:cs="宋体"/>
          <w:color w:val="auto"/>
          <w:highlight w:val="none"/>
        </w:rPr>
        <w:t>显示面积：不小于</w:t>
      </w:r>
      <w:r>
        <w:rPr>
          <w:rFonts w:ascii="宋体" w:hAnsi="宋体" w:cs="宋体"/>
          <w:color w:val="auto"/>
          <w:highlight w:val="none"/>
        </w:rPr>
        <w:t>3000</w:t>
      </w:r>
      <w:r>
        <w:rPr>
          <w:rFonts w:hint="eastAsia" w:ascii="宋体" w:hAnsi="宋体" w:cs="宋体"/>
          <w:color w:val="auto"/>
          <w:highlight w:val="none"/>
        </w:rPr>
        <w:t>mm×1</w:t>
      </w:r>
      <w:r>
        <w:rPr>
          <w:rFonts w:ascii="宋体" w:hAnsi="宋体" w:cs="宋体"/>
          <w:color w:val="auto"/>
          <w:highlight w:val="none"/>
        </w:rPr>
        <w:t>680</w:t>
      </w:r>
      <w:r>
        <w:rPr>
          <w:rFonts w:hint="eastAsia" w:ascii="宋体" w:hAnsi="宋体" w:cs="宋体"/>
          <w:color w:val="auto"/>
          <w:highlight w:val="none"/>
        </w:rPr>
        <w:t>mm，或不小于3</w:t>
      </w:r>
      <w:r>
        <w:rPr>
          <w:rFonts w:ascii="宋体" w:hAnsi="宋体" w:cs="宋体"/>
          <w:color w:val="auto"/>
          <w:highlight w:val="none"/>
        </w:rPr>
        <w:t>200</w:t>
      </w:r>
      <w:r>
        <w:rPr>
          <w:rFonts w:hint="eastAsia" w:ascii="宋体" w:hAnsi="宋体" w:cs="宋体"/>
          <w:color w:val="auto"/>
          <w:highlight w:val="none"/>
        </w:rPr>
        <w:t>mm×</w:t>
      </w:r>
      <w:r>
        <w:rPr>
          <w:rFonts w:ascii="宋体" w:hAnsi="宋体" w:cs="宋体"/>
          <w:color w:val="auto"/>
          <w:highlight w:val="none"/>
        </w:rPr>
        <w:t>1600</w:t>
      </w:r>
      <w:r>
        <w:rPr>
          <w:rFonts w:hint="eastAsia" w:ascii="宋体" w:hAnsi="宋体" w:cs="宋体"/>
          <w:color w:val="auto"/>
          <w:highlight w:val="none"/>
        </w:rPr>
        <w:t>mm；</w:t>
      </w:r>
    </w:p>
    <w:p>
      <w:pPr>
        <w:adjustRightInd w:val="0"/>
        <w:snapToGrid w:val="0"/>
        <w:ind w:firstLine="420"/>
        <w:jc w:val="both"/>
        <w:rPr>
          <w:rFonts w:ascii="宋体" w:hAnsi="宋体" w:cs="宋体"/>
          <w:color w:val="auto"/>
          <w:highlight w:val="none"/>
        </w:rPr>
      </w:pPr>
      <w:r>
        <w:rPr>
          <w:rFonts w:hint="eastAsia" w:ascii="宋体" w:hAnsi="宋体" w:cs="宋体"/>
          <w:color w:val="auto"/>
          <w:highlight w:val="none"/>
        </w:rPr>
        <w:t>LED点间距：≤1.</w:t>
      </w:r>
      <w:r>
        <w:rPr>
          <w:rFonts w:ascii="宋体" w:hAnsi="宋体" w:cs="宋体"/>
          <w:color w:val="auto"/>
          <w:highlight w:val="none"/>
        </w:rPr>
        <w:t>2</w:t>
      </w:r>
      <w:r>
        <w:rPr>
          <w:rFonts w:hint="eastAsia" w:ascii="宋体" w:hAnsi="宋体" w:cs="宋体"/>
          <w:color w:val="auto"/>
          <w:highlight w:val="none"/>
        </w:rPr>
        <w:t>5mm；</w:t>
      </w:r>
    </w:p>
    <w:p>
      <w:pPr>
        <w:adjustRightInd w:val="0"/>
        <w:snapToGrid w:val="0"/>
        <w:ind w:firstLine="420"/>
        <w:jc w:val="both"/>
        <w:rPr>
          <w:rFonts w:ascii="宋体" w:hAnsi="宋体" w:cs="宋体"/>
          <w:color w:val="auto"/>
          <w:highlight w:val="none"/>
        </w:rPr>
      </w:pPr>
      <w:r>
        <w:rPr>
          <w:rFonts w:hint="eastAsia" w:ascii="宋体" w:hAnsi="宋体" w:cs="宋体"/>
          <w:color w:val="auto"/>
          <w:highlight w:val="none"/>
        </w:rPr>
        <w:t>整屏平整度：≤0.3mm；</w:t>
      </w:r>
    </w:p>
    <w:p>
      <w:pPr>
        <w:adjustRightInd w:val="0"/>
        <w:snapToGrid w:val="0"/>
        <w:ind w:firstLine="420"/>
        <w:jc w:val="both"/>
        <w:rPr>
          <w:rFonts w:ascii="宋体" w:hAnsi="宋体" w:cs="宋体"/>
          <w:color w:val="auto"/>
          <w:highlight w:val="none"/>
        </w:rPr>
      </w:pPr>
      <w:r>
        <w:rPr>
          <w:rFonts w:hint="eastAsia" w:ascii="宋体" w:hAnsi="宋体" w:cs="宋体"/>
          <w:color w:val="auto"/>
          <w:highlight w:val="none"/>
        </w:rPr>
        <w:t>屏幕亮度：≥</w:t>
      </w:r>
      <w:r>
        <w:rPr>
          <w:rFonts w:ascii="宋体" w:hAnsi="宋体" w:cs="宋体"/>
          <w:color w:val="auto"/>
          <w:highlight w:val="none"/>
        </w:rPr>
        <w:t>6</w:t>
      </w:r>
      <w:r>
        <w:rPr>
          <w:rFonts w:hint="eastAsia" w:ascii="宋体" w:hAnsi="宋体" w:cs="宋体"/>
          <w:color w:val="auto"/>
          <w:highlight w:val="none"/>
        </w:rPr>
        <w:t>00cd/㎡,单点亮度校正，单点颜色校正；</w:t>
      </w:r>
    </w:p>
    <w:p>
      <w:pPr>
        <w:adjustRightInd w:val="0"/>
        <w:snapToGrid w:val="0"/>
        <w:ind w:firstLine="420"/>
        <w:jc w:val="both"/>
        <w:rPr>
          <w:rFonts w:ascii="宋体" w:hAnsi="宋体" w:cs="宋体"/>
          <w:color w:val="auto"/>
          <w:highlight w:val="none"/>
        </w:rPr>
      </w:pPr>
      <w:r>
        <w:rPr>
          <w:rFonts w:hint="eastAsia" w:ascii="宋体" w:hAnsi="宋体" w:cs="宋体"/>
          <w:color w:val="auto"/>
          <w:highlight w:val="none"/>
        </w:rPr>
        <w:t>水平视角：≥140°；</w:t>
      </w:r>
    </w:p>
    <w:p>
      <w:pPr>
        <w:adjustRightInd w:val="0"/>
        <w:snapToGrid w:val="0"/>
        <w:ind w:firstLine="420"/>
        <w:jc w:val="both"/>
        <w:rPr>
          <w:rFonts w:ascii="宋体" w:hAnsi="宋体" w:cs="宋体"/>
          <w:color w:val="auto"/>
          <w:highlight w:val="none"/>
        </w:rPr>
      </w:pPr>
      <w:r>
        <w:rPr>
          <w:rFonts w:hint="eastAsia" w:ascii="宋体" w:hAnsi="宋体" w:cs="宋体"/>
          <w:color w:val="auto"/>
          <w:highlight w:val="none"/>
        </w:rPr>
        <w:t>垂直视角：≥140°；</w:t>
      </w:r>
    </w:p>
    <w:p>
      <w:pPr>
        <w:adjustRightInd w:val="0"/>
        <w:snapToGrid w:val="0"/>
        <w:ind w:firstLine="420"/>
        <w:jc w:val="both"/>
        <w:rPr>
          <w:rFonts w:ascii="宋体" w:hAnsi="宋体" w:cs="宋体"/>
          <w:color w:val="auto"/>
          <w:highlight w:val="none"/>
        </w:rPr>
      </w:pPr>
      <w:r>
        <w:rPr>
          <w:rFonts w:hint="eastAsia" w:ascii="宋体" w:hAnsi="宋体" w:cs="宋体"/>
          <w:color w:val="auto"/>
          <w:highlight w:val="none"/>
        </w:rPr>
        <w:t>亮度均匀性：≥97%；</w:t>
      </w:r>
    </w:p>
    <w:p>
      <w:pPr>
        <w:adjustRightInd w:val="0"/>
        <w:snapToGrid w:val="0"/>
        <w:ind w:firstLine="420"/>
        <w:jc w:val="both"/>
        <w:rPr>
          <w:rFonts w:ascii="宋体" w:hAnsi="宋体" w:cs="宋体"/>
          <w:color w:val="auto"/>
          <w:highlight w:val="none"/>
        </w:rPr>
      </w:pPr>
      <w:r>
        <w:rPr>
          <w:rFonts w:hint="eastAsia" w:ascii="宋体" w:hAnsi="宋体" w:cs="宋体"/>
          <w:color w:val="auto"/>
          <w:highlight w:val="none"/>
        </w:rPr>
        <w:t>整屏显示时的刷新频率≥3840HZ，画面换帧频率必须≥60HZ；</w:t>
      </w:r>
    </w:p>
    <w:p>
      <w:pPr>
        <w:adjustRightInd w:val="0"/>
        <w:snapToGrid w:val="0"/>
        <w:ind w:firstLine="420"/>
        <w:jc w:val="both"/>
        <w:rPr>
          <w:rFonts w:ascii="宋体" w:hAnsi="宋体" w:cs="宋体"/>
          <w:color w:val="auto"/>
          <w:highlight w:val="none"/>
        </w:rPr>
      </w:pPr>
      <w:r>
        <w:rPr>
          <w:rFonts w:hint="eastAsia" w:ascii="宋体" w:hAnsi="宋体" w:cs="宋体"/>
          <w:color w:val="auto"/>
          <w:highlight w:val="none"/>
        </w:rPr>
        <w:t>模组采用前维护结构，可在正面拆卸、安装，支持带电维护，热插拔，不需要移动固定结构</w:t>
      </w:r>
      <w:bookmarkStart w:id="197" w:name="OLE_LINK2"/>
      <w:bookmarkStart w:id="198" w:name="OLE_LINK1"/>
      <w:r>
        <w:rPr>
          <w:rFonts w:hint="eastAsia" w:ascii="宋体" w:hAnsi="宋体" w:cs="宋体"/>
          <w:color w:val="auto"/>
          <w:highlight w:val="none"/>
        </w:rPr>
        <w:t>；</w:t>
      </w:r>
    </w:p>
    <w:bookmarkEnd w:id="197"/>
    <w:bookmarkEnd w:id="198"/>
    <w:p>
      <w:pPr>
        <w:adjustRightInd w:val="0"/>
        <w:snapToGrid w:val="0"/>
        <w:ind w:firstLine="420"/>
        <w:jc w:val="both"/>
        <w:rPr>
          <w:rFonts w:ascii="宋体" w:hAnsi="宋体" w:cs="宋体"/>
          <w:color w:val="auto"/>
          <w:highlight w:val="none"/>
        </w:rPr>
      </w:pPr>
      <w:r>
        <w:rPr>
          <w:rFonts w:hint="eastAsia" w:ascii="宋体" w:hAnsi="宋体" w:cs="宋体"/>
          <w:color w:val="auto"/>
          <w:highlight w:val="none"/>
        </w:rPr>
        <w:t>箱体前后全压铸铝箱体，一次性整体压铸，无开孔；</w:t>
      </w:r>
    </w:p>
    <w:p>
      <w:pPr>
        <w:adjustRightInd w:val="0"/>
        <w:snapToGrid w:val="0"/>
        <w:ind w:firstLine="420"/>
        <w:jc w:val="both"/>
        <w:rPr>
          <w:rFonts w:ascii="宋体" w:hAnsi="宋体" w:cs="宋体"/>
          <w:color w:val="auto"/>
          <w:highlight w:val="none"/>
        </w:rPr>
      </w:pPr>
      <w:r>
        <w:rPr>
          <w:rFonts w:hint="eastAsia" w:ascii="宋体" w:hAnsi="宋体" w:cs="宋体"/>
          <w:color w:val="auto"/>
          <w:highlight w:val="none"/>
        </w:rPr>
        <w:t>箱体带边锁设计，模组高度可调，箱体间隙可调；</w:t>
      </w:r>
    </w:p>
    <w:p>
      <w:pPr>
        <w:adjustRightInd w:val="0"/>
        <w:snapToGrid w:val="0"/>
        <w:ind w:firstLine="420"/>
        <w:jc w:val="both"/>
        <w:rPr>
          <w:rFonts w:ascii="宋体" w:hAnsi="宋体" w:cs="宋体"/>
          <w:color w:val="auto"/>
          <w:highlight w:val="none"/>
        </w:rPr>
      </w:pPr>
      <w:r>
        <w:rPr>
          <w:rFonts w:hint="eastAsia" w:ascii="宋体" w:hAnsi="宋体" w:cs="宋体"/>
          <w:color w:val="auto"/>
          <w:highlight w:val="none"/>
        </w:rPr>
        <w:t>具有防静电、抗震动、防电磁干扰、抗雷击等功能，具有电源过压、过流、断电保护、分布上电措施；</w:t>
      </w:r>
    </w:p>
    <w:p>
      <w:pPr>
        <w:adjustRightInd w:val="0"/>
        <w:snapToGrid w:val="0"/>
        <w:ind w:firstLine="420"/>
        <w:jc w:val="both"/>
        <w:rPr>
          <w:b/>
          <w:bCs/>
          <w:color w:val="auto"/>
          <w:highlight w:val="none"/>
        </w:rPr>
      </w:pPr>
      <w:r>
        <w:rPr>
          <w:rFonts w:hint="eastAsia"/>
          <w:b/>
          <w:bCs/>
          <w:color w:val="auto"/>
          <w:highlight w:val="none"/>
        </w:rPr>
        <w:t>应提供权威</w:t>
      </w:r>
      <w:r>
        <w:rPr>
          <w:rFonts w:hint="eastAsia" w:ascii="宋体" w:hAnsi="宋体" w:cs="宋体"/>
          <w:b/>
          <w:bCs/>
          <w:color w:val="auto"/>
          <w:highlight w:val="none"/>
        </w:rPr>
        <w:t>检测</w:t>
      </w:r>
      <w:r>
        <w:rPr>
          <w:rFonts w:hint="eastAsia"/>
          <w:b/>
          <w:bCs/>
          <w:color w:val="auto"/>
          <w:highlight w:val="none"/>
        </w:rPr>
        <w:t>机构（具有CMA、CNAS认证的检测机构）出具的检验/检测/试验报告。</w:t>
      </w:r>
    </w:p>
    <w:p>
      <w:pPr>
        <w:adjustRightInd w:val="0"/>
        <w:snapToGrid w:val="0"/>
        <w:jc w:val="both"/>
        <w:rPr>
          <w:rFonts w:ascii="宋体" w:hAnsi="宋体" w:cs="宋体"/>
          <w:b/>
          <w:bCs/>
          <w:color w:val="auto"/>
          <w:highlight w:val="none"/>
        </w:rPr>
      </w:pPr>
      <w:r>
        <w:rPr>
          <w:rFonts w:hint="eastAsia" w:ascii="宋体" w:hAnsi="宋体" w:cs="宋体"/>
          <w:b/>
          <w:bCs/>
          <w:color w:val="auto"/>
          <w:highlight w:val="none"/>
        </w:rPr>
        <w:t>（2）拼接控制器</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系统配置不少于</w:t>
      </w:r>
      <w:r>
        <w:rPr>
          <w:rFonts w:ascii="宋体" w:hAnsi="宋体" w:cs="宋体"/>
          <w:color w:val="auto"/>
          <w:highlight w:val="none"/>
        </w:rPr>
        <w:t>8</w:t>
      </w:r>
      <w:r>
        <w:rPr>
          <w:rFonts w:hint="eastAsia" w:ascii="宋体" w:hAnsi="宋体" w:cs="宋体"/>
          <w:color w:val="auto"/>
          <w:highlight w:val="none"/>
        </w:rPr>
        <w:t>路VGA/DVI</w:t>
      </w:r>
      <w:r>
        <w:rPr>
          <w:rFonts w:ascii="宋体" w:hAnsi="宋体" w:cs="宋体"/>
          <w:color w:val="auto"/>
          <w:highlight w:val="none"/>
        </w:rPr>
        <w:t>/</w:t>
      </w:r>
      <w:r>
        <w:rPr>
          <w:rFonts w:hint="eastAsia" w:ascii="宋体" w:hAnsi="宋体" w:cs="宋体"/>
          <w:color w:val="auto"/>
          <w:highlight w:val="none"/>
        </w:rPr>
        <w:t>HDMI输入，不少于</w:t>
      </w:r>
      <w:r>
        <w:rPr>
          <w:rFonts w:ascii="宋体" w:hAnsi="宋体" w:cs="宋体"/>
          <w:color w:val="auto"/>
          <w:highlight w:val="none"/>
        </w:rPr>
        <w:t>8</w:t>
      </w:r>
      <w:r>
        <w:rPr>
          <w:rFonts w:hint="eastAsia" w:ascii="宋体" w:hAnsi="宋体" w:cs="宋体"/>
          <w:color w:val="auto"/>
          <w:highlight w:val="none"/>
        </w:rPr>
        <w:t>路HDMI/DVI输出；</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系统采先进的FPGA全硬件图形并行处理技术，全数字结构设计。在信号的输入输出方面，以全硬件方式进行嵌入式处理，每路信号独享各自的专用独立通道进行传输。采用超高速底板数据交换架构，实时信号数据流与超高分辨率计算机图像数据流独立并行处理技术。</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传输即使信号源种类和数量众多，也能保证所有图像显示实时、流畅、同步、稳定、无卡顿。</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支持多种信号格式输入，包括Video、VGA、DVI、IP流媒体、HDMI（FullHD全高清）、SD/HD-SDI、DP信号等。对复合视频能兼容NTSC/PAL/SECAM等制式，对计算机视频信号，能兼容各种常见分辨率，并可实现自定义非常规分辨率。系统可输出DVI-I信号，支持RGB/DVI信号输出。</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支持超大分辨率采集（4K×2K)和超大分辨率输出（4K×2K)，显示帧率不低于60帧/s。</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系统支持超高清视频同步播放技术，支持任意通道输出，各通道输出同步时间小于100毫秒。</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不出现切换黑屏、停顿、三方切换等影响观看者视觉感觉的现象。因而在任何路信号之间的切换可实现无缝切换，不会出现黑屏、停顿、三方切换等影响视觉的情况，切换的延时最大不超过100ms。</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系统能够完美的解决视频处理、矩阵、传输、拼接，通过自主编解码方式，将视频信号无损传输至LED显示屏控制系统。</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支持预案保存调用功能，可根据显示的要求对预案进行定时调用，顺序自动循环调用等。</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控制系统能确保7×24小时连续运行，具有先进性、稳定性和可扩充性，操作简单，维护方便，寿命长。</w:t>
      </w:r>
    </w:p>
    <w:p>
      <w:pPr>
        <w:adjustRightInd w:val="0"/>
        <w:snapToGrid w:val="0"/>
        <w:ind w:firstLine="420"/>
        <w:jc w:val="both"/>
        <w:rPr>
          <w:b/>
          <w:bCs/>
          <w:color w:val="auto"/>
          <w:highlight w:val="none"/>
        </w:rPr>
      </w:pPr>
      <w:r>
        <w:rPr>
          <w:rFonts w:hint="eastAsia"/>
          <w:b/>
          <w:bCs/>
          <w:color w:val="auto"/>
          <w:highlight w:val="none"/>
        </w:rPr>
        <w:t>应提供权威</w:t>
      </w:r>
      <w:r>
        <w:rPr>
          <w:rFonts w:hint="eastAsia" w:ascii="宋体" w:hAnsi="宋体" w:cs="宋体"/>
          <w:b/>
          <w:bCs/>
          <w:color w:val="auto"/>
          <w:highlight w:val="none"/>
        </w:rPr>
        <w:t>检测</w:t>
      </w:r>
      <w:r>
        <w:rPr>
          <w:rFonts w:hint="eastAsia"/>
          <w:b/>
          <w:bCs/>
          <w:color w:val="auto"/>
          <w:highlight w:val="none"/>
        </w:rPr>
        <w:t>机构（具有CMA、CNAS认证的检测机构）出具的检验/检测/试验报告。</w:t>
      </w:r>
    </w:p>
    <w:p>
      <w:pPr>
        <w:adjustRightInd w:val="0"/>
        <w:snapToGrid w:val="0"/>
        <w:jc w:val="both"/>
        <w:rPr>
          <w:rFonts w:ascii="宋体" w:hAnsi="宋体" w:cs="宋体"/>
          <w:b/>
          <w:bCs/>
          <w:color w:val="auto"/>
          <w:highlight w:val="none"/>
        </w:rPr>
      </w:pPr>
      <w:r>
        <w:rPr>
          <w:rFonts w:hint="eastAsia" w:ascii="宋体" w:hAnsi="宋体" w:cs="宋体"/>
          <w:b/>
          <w:bCs/>
          <w:color w:val="auto"/>
          <w:highlight w:val="none"/>
        </w:rPr>
        <w:t>（3）控制软件</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全彩显示屏编辑软件，提供LED全彩显示屏-布局设置软件、LED全彩显示屏-亮度校正软件、LED全彩显示屏-监控软件、LED显示屏播控平台视频集中控制软件、LED显示屏播控平台-多功能状态交互控制软件；</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全中文操作界面，支持窗口菜单、子窗口等界面以及双击等操作，界面简洁，操作方便；</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可对各种视频信号、VGA信号、网络计算机等信号源进行设置、管理、选择调用和切换显示；</w:t>
      </w:r>
    </w:p>
    <w:p>
      <w:pPr>
        <w:adjustRightInd w:val="0"/>
        <w:snapToGrid w:val="0"/>
        <w:ind w:firstLine="420"/>
        <w:jc w:val="both"/>
        <w:rPr>
          <w:rFonts w:ascii="宋体" w:hAnsi="宋体" w:cs="宋体"/>
          <w:color w:val="auto"/>
          <w:highlight w:val="none"/>
        </w:rPr>
      </w:pPr>
      <w:r>
        <w:rPr>
          <w:rFonts w:hint="eastAsia" w:ascii="宋体" w:hAnsi="宋体" w:cs="宋体"/>
          <w:color w:val="auto"/>
          <w:highlight w:val="none"/>
        </w:rPr>
        <w:t>可对各信号的色彩、亮度等参数进行设置、调整。</w:t>
      </w:r>
    </w:p>
    <w:p>
      <w:pPr>
        <w:adjustRightInd w:val="0"/>
        <w:snapToGrid w:val="0"/>
        <w:jc w:val="both"/>
        <w:rPr>
          <w:rFonts w:ascii="宋体" w:hAnsi="宋体" w:cs="宋体"/>
          <w:b/>
          <w:bCs/>
          <w:color w:val="auto"/>
          <w:highlight w:val="none"/>
        </w:rPr>
      </w:pPr>
      <w:r>
        <w:rPr>
          <w:rFonts w:hint="eastAsia" w:ascii="宋体" w:hAnsi="宋体" w:cs="宋体"/>
          <w:b/>
          <w:bCs/>
          <w:color w:val="auto"/>
          <w:highlight w:val="none"/>
        </w:rPr>
        <w:t>（4）配电柜</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提供CCC认证；</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防酸碱腐蚀、防氧化；防水、防潮、防尘；防电磁干扰、防静电；有良好的接地；</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充分考虑系统的耐热和散热，合理设计，优化工艺，使显示屏适用工况环境温度-15℃～60℃；</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屏体进行阻燃设计，采取降噪处理措施；</w:t>
      </w:r>
    </w:p>
    <w:p>
      <w:pPr>
        <w:adjustRightInd w:val="0"/>
        <w:snapToGrid w:val="0"/>
        <w:ind w:firstLine="420"/>
        <w:jc w:val="both"/>
        <w:rPr>
          <w:rFonts w:ascii="宋体" w:hAnsi="宋体" w:cs="宋体"/>
          <w:color w:val="auto"/>
          <w:highlight w:val="none"/>
        </w:rPr>
      </w:pPr>
      <w:r>
        <w:rPr>
          <w:rFonts w:hint="eastAsia" w:ascii="宋体" w:hAnsi="宋体" w:cs="宋体"/>
          <w:color w:val="auto"/>
          <w:highlight w:val="none"/>
        </w:rPr>
        <w:t>负载均衡，与屏体电源和控制系统适配，能够实现自动分步上电，减少冲击和干扰。</w:t>
      </w:r>
    </w:p>
    <w:p>
      <w:pPr>
        <w:pStyle w:val="8"/>
        <w:numPr>
          <w:ilvl w:val="4"/>
          <w:numId w:val="0"/>
        </w:numPr>
        <w:tabs>
          <w:tab w:val="left" w:pos="1276"/>
        </w:tabs>
        <w:autoSpaceDE w:val="0"/>
        <w:autoSpaceDN w:val="0"/>
        <w:adjustRightInd w:val="0"/>
        <w:snapToGrid w:val="0"/>
        <w:spacing w:before="80"/>
        <w:rPr>
          <w:rFonts w:ascii="宋体" w:hAnsi="宋体" w:cs="宋体"/>
          <w:b/>
          <w:bCs/>
          <w:color w:val="auto"/>
          <w:sz w:val="28"/>
          <w:highlight w:val="none"/>
        </w:rPr>
      </w:pPr>
      <w:r>
        <w:rPr>
          <w:rFonts w:ascii="宋体" w:hAnsi="宋体" w:cs="宋体"/>
          <w:b/>
          <w:color w:val="auto"/>
          <w:sz w:val="28"/>
          <w:highlight w:val="none"/>
        </w:rPr>
        <w:t>3.2</w:t>
      </w:r>
      <w:r>
        <w:rPr>
          <w:rFonts w:hint="eastAsia" w:ascii="宋体" w:hAnsi="宋体" w:cs="宋体"/>
          <w:b/>
          <w:color w:val="auto"/>
          <w:sz w:val="28"/>
          <w:highlight w:val="none"/>
        </w:rPr>
        <w:t>、会议室音响摄像系统</w:t>
      </w:r>
    </w:p>
    <w:p>
      <w:pPr>
        <w:adjustRightInd w:val="0"/>
        <w:snapToGrid w:val="0"/>
        <w:jc w:val="both"/>
        <w:rPr>
          <w:rFonts w:ascii="宋体" w:hAnsi="宋体" w:cs="宋体"/>
          <w:b/>
          <w:bCs/>
          <w:color w:val="auto"/>
          <w:highlight w:val="none"/>
        </w:rPr>
      </w:pPr>
      <w:r>
        <w:rPr>
          <w:rFonts w:hint="eastAsia" w:ascii="宋体" w:hAnsi="宋体" w:cs="宋体"/>
          <w:b/>
          <w:bCs/>
          <w:color w:val="auto"/>
          <w:highlight w:val="none"/>
        </w:rPr>
        <w:t>（1）线性阵列音箱</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1、频率范围(-10dB)：120 Hz – 20 kHz</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2、覆盖角度：垂直</w:t>
      </w:r>
      <w:r>
        <w:rPr>
          <w:rFonts w:ascii="宋体" w:hAnsi="宋体" w:cs="宋体"/>
          <w:color w:val="auto"/>
          <w:highlight w:val="none"/>
        </w:rPr>
        <w:t>90</w:t>
      </w:r>
      <w:r>
        <w:rPr>
          <w:rFonts w:hint="eastAsia" w:ascii="宋体" w:hAnsi="宋体" w:cs="宋体"/>
          <w:color w:val="auto"/>
          <w:highlight w:val="none"/>
        </w:rPr>
        <w:t>°，水平</w:t>
      </w:r>
      <w:r>
        <w:rPr>
          <w:rFonts w:ascii="宋体" w:hAnsi="宋体" w:cs="宋体"/>
          <w:color w:val="auto"/>
          <w:highlight w:val="none"/>
        </w:rPr>
        <w:t>9</w:t>
      </w:r>
      <w:r>
        <w:rPr>
          <w:rFonts w:hint="eastAsia" w:ascii="宋体" w:hAnsi="宋体" w:cs="宋体"/>
          <w:color w:val="auto"/>
          <w:highlight w:val="none"/>
        </w:rPr>
        <w:t>0°</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 xml:space="preserve">3、灵敏度：93 dB </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4、阻抗：8 Ω</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5、额定功率：150W (600W peak)</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6、安装方式：支持壁挂安装（含支架）</w:t>
      </w:r>
    </w:p>
    <w:p>
      <w:pPr>
        <w:adjustRightInd w:val="0"/>
        <w:snapToGrid w:val="0"/>
        <w:jc w:val="both"/>
        <w:rPr>
          <w:rFonts w:ascii="宋体" w:hAnsi="宋体" w:cs="宋体"/>
          <w:b/>
          <w:bCs/>
          <w:color w:val="auto"/>
          <w:highlight w:val="none"/>
        </w:rPr>
      </w:pPr>
      <w:r>
        <w:rPr>
          <w:rFonts w:hint="eastAsia" w:ascii="宋体" w:hAnsi="宋体" w:cs="宋体"/>
          <w:b/>
          <w:bCs/>
          <w:color w:val="auto"/>
          <w:highlight w:val="none"/>
        </w:rPr>
        <w:t>（2）功率放大器</w:t>
      </w:r>
    </w:p>
    <w:p>
      <w:pPr>
        <w:tabs>
          <w:tab w:val="left" w:pos="425"/>
        </w:tabs>
        <w:adjustRightInd w:val="0"/>
        <w:snapToGrid w:val="0"/>
        <w:ind w:firstLine="480"/>
        <w:jc w:val="both"/>
        <w:rPr>
          <w:rFonts w:ascii="宋体" w:hAnsi="宋体" w:cs="宋体"/>
          <w:color w:val="auto"/>
          <w:highlight w:val="none"/>
        </w:rPr>
      </w:pPr>
      <w:r>
        <w:rPr>
          <w:rFonts w:hint="eastAsia"/>
          <w:color w:val="auto"/>
          <w:highlight w:val="none"/>
        </w:rPr>
        <w:t>1、</w:t>
      </w:r>
      <w:r>
        <w:rPr>
          <w:rFonts w:hint="eastAsia" w:ascii="宋体" w:hAnsi="宋体" w:cs="宋体"/>
          <w:color w:val="auto"/>
          <w:highlight w:val="none"/>
        </w:rPr>
        <w:t>总谐波失真：≤0.01%；</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2、信噪比：≥100dB；</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3、频率响应：±1.0dB</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4、采样频率：48kHz</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5、输出功率：2*380W/8Ω，2*500W/4Ω；</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6、输入阻抗：20kΩ (平衡), 10kΩ (非平衡)</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7、支持立体声模式、单声道模式和桥接模式</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8、前面板带有电源指示灯、信号指示灯及过载指示灯</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9、具有开机延时保护、过热保护、负载短路保护、直流保护、过载保护等多重保护设计</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10、具备2路平衡式音频输入和2路音频环出（卡侬接口）</w:t>
      </w:r>
    </w:p>
    <w:p>
      <w:pPr>
        <w:adjustRightInd w:val="0"/>
        <w:snapToGrid w:val="0"/>
        <w:jc w:val="both"/>
        <w:rPr>
          <w:b/>
          <w:bCs/>
          <w:color w:val="auto"/>
          <w:highlight w:val="none"/>
        </w:rPr>
      </w:pPr>
      <w:r>
        <w:rPr>
          <w:rFonts w:hint="eastAsia"/>
          <w:b/>
          <w:bCs/>
          <w:color w:val="auto"/>
          <w:highlight w:val="none"/>
        </w:rPr>
        <w:t>（3）数字音频处理器</w:t>
      </w:r>
    </w:p>
    <w:p>
      <w:pPr>
        <w:tabs>
          <w:tab w:val="left" w:pos="425"/>
        </w:tabs>
        <w:adjustRightInd w:val="0"/>
        <w:snapToGrid w:val="0"/>
        <w:ind w:firstLine="480"/>
        <w:jc w:val="both"/>
        <w:rPr>
          <w:rFonts w:ascii="宋体" w:hAnsi="宋体" w:cs="宋体"/>
          <w:color w:val="auto"/>
          <w:highlight w:val="none"/>
        </w:rPr>
      </w:pPr>
      <w:r>
        <w:rPr>
          <w:rFonts w:hint="eastAsia"/>
          <w:color w:val="auto"/>
          <w:highlight w:val="none"/>
        </w:rPr>
        <w:t>1、输</w:t>
      </w:r>
      <w:r>
        <w:rPr>
          <w:rFonts w:hint="eastAsia" w:ascii="宋体" w:hAnsi="宋体" w:cs="宋体"/>
          <w:color w:val="auto"/>
          <w:highlight w:val="none"/>
        </w:rPr>
        <w:t>入通道：8路平衡输入（可切换4路Dante）. Mic/line level</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2、音频接口: 3.81 mm 凤凰插, 12-pin</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3、输入阻抗: 11.5KΩ</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4、最大输入电平：12dBu/Line, -7dBu/Mic</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5、幻象电源：+48VDC, 6.5mA, 每通道配置</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6、输出通道：8 路平衡输出（可切换4路Dante）, line level</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7、支持RS-232、TCP/IP 协议实现第三方控制</w:t>
      </w:r>
    </w:p>
    <w:p>
      <w:pPr>
        <w:tabs>
          <w:tab w:val="left" w:pos="425"/>
        </w:tabs>
        <w:adjustRightInd w:val="0"/>
        <w:snapToGrid w:val="0"/>
        <w:ind w:firstLine="420"/>
        <w:jc w:val="both"/>
        <w:rPr>
          <w:color w:val="auto"/>
          <w:highlight w:val="none"/>
        </w:rPr>
      </w:pPr>
      <w:r>
        <w:rPr>
          <w:rFonts w:hint="eastAsia" w:ascii="宋体" w:hAnsi="宋体" w:cs="宋体"/>
          <w:color w:val="auto"/>
          <w:highlight w:val="none"/>
        </w:rPr>
        <w:t>8、自适应反馈抑制，噪</w:t>
      </w:r>
      <w:r>
        <w:rPr>
          <w:rFonts w:hint="eastAsia"/>
          <w:color w:val="auto"/>
          <w:highlight w:val="none"/>
        </w:rPr>
        <w:t>声抑制，自适应回声消除，前级放大，信号发生器，扩展器，自动增益，幻象供电，参量均衡，高低通滤波，延时器、压限器，输出电平调节等</w:t>
      </w:r>
    </w:p>
    <w:p>
      <w:pPr>
        <w:adjustRightInd w:val="0"/>
        <w:snapToGrid w:val="0"/>
        <w:jc w:val="both"/>
        <w:rPr>
          <w:b/>
          <w:bCs/>
          <w:color w:val="auto"/>
          <w:highlight w:val="none"/>
        </w:rPr>
      </w:pPr>
      <w:r>
        <w:rPr>
          <w:rFonts w:hint="eastAsia"/>
          <w:b/>
          <w:bCs/>
          <w:color w:val="auto"/>
          <w:highlight w:val="none"/>
        </w:rPr>
        <w:t>（4）数字调音台</w:t>
      </w:r>
    </w:p>
    <w:p>
      <w:pPr>
        <w:tabs>
          <w:tab w:val="left" w:pos="425"/>
        </w:tabs>
        <w:adjustRightInd w:val="0"/>
        <w:snapToGrid w:val="0"/>
        <w:ind w:firstLine="480"/>
        <w:jc w:val="both"/>
        <w:rPr>
          <w:rFonts w:ascii="宋体" w:hAnsi="宋体" w:cs="宋体"/>
          <w:color w:val="auto"/>
          <w:highlight w:val="none"/>
        </w:rPr>
      </w:pPr>
      <w:r>
        <w:rPr>
          <w:rFonts w:hint="eastAsia"/>
          <w:color w:val="auto"/>
          <w:highlight w:val="none"/>
        </w:rPr>
        <w:t>1、通</w:t>
      </w:r>
      <w:r>
        <w:rPr>
          <w:rFonts w:hint="eastAsia" w:ascii="宋体" w:hAnsi="宋体" w:cs="宋体"/>
          <w:color w:val="auto"/>
          <w:highlight w:val="none"/>
        </w:rPr>
        <w:t>道：≥</w:t>
      </w:r>
      <w:r>
        <w:rPr>
          <w:rFonts w:ascii="宋体" w:hAnsi="宋体" w:cs="宋体"/>
          <w:color w:val="auto"/>
          <w:highlight w:val="none"/>
        </w:rPr>
        <w:t>18</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2、输入 - 麦克风前置放大器：12 *XLR</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3、输入 - 线路：2 * 1/4“TRS（立体声输入）</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4、输出 - 主要：2 *XLR</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5、输出 - 其他：4路辅助输出，1路立体声AES输出</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6、AUX：2路辅助输出AUX1、AUX2</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7、总线/组：3个静音编组</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8、≥2个专业DSP效果器，≥6种效果类型，≥110种的效果预置</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9、计算机连接：2个USB A型（一个用于Wi-Fi插头）</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10、耳机：1路耳机监听输出，独立音量调节旋钮</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11、EQ频段：4频段参数（每声道），1/3倍频程图形（主/辅助输出）</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12、效果：混响，延迟，内置两个独立的DSP效果器，预设多种效果模式供用户直接使用</w:t>
      </w:r>
    </w:p>
    <w:p>
      <w:pPr>
        <w:tabs>
          <w:tab w:val="left" w:pos="425"/>
        </w:tabs>
        <w:adjustRightInd w:val="0"/>
        <w:snapToGrid w:val="0"/>
        <w:ind w:firstLine="420"/>
        <w:jc w:val="both"/>
        <w:rPr>
          <w:color w:val="auto"/>
          <w:highlight w:val="none"/>
        </w:rPr>
      </w:pPr>
      <w:r>
        <w:rPr>
          <w:rFonts w:hint="eastAsia" w:ascii="宋体" w:hAnsi="宋体" w:cs="宋体"/>
          <w:color w:val="auto"/>
          <w:highlight w:val="none"/>
        </w:rPr>
        <w:t>13、屏幕：彩</w:t>
      </w:r>
      <w:r>
        <w:rPr>
          <w:rFonts w:hint="eastAsia"/>
          <w:color w:val="auto"/>
          <w:highlight w:val="none"/>
        </w:rPr>
        <w:t>色触摸屏</w:t>
      </w:r>
    </w:p>
    <w:p>
      <w:pPr>
        <w:adjustRightInd w:val="0"/>
        <w:snapToGrid w:val="0"/>
        <w:jc w:val="both"/>
        <w:rPr>
          <w:b/>
          <w:bCs/>
          <w:color w:val="auto"/>
          <w:highlight w:val="none"/>
        </w:rPr>
      </w:pPr>
      <w:r>
        <w:rPr>
          <w:rFonts w:hint="eastAsia"/>
          <w:b/>
          <w:bCs/>
          <w:color w:val="auto"/>
          <w:highlight w:val="none"/>
        </w:rPr>
        <w:t>（5）反馈抑制器</w:t>
      </w:r>
    </w:p>
    <w:p>
      <w:pPr>
        <w:tabs>
          <w:tab w:val="left" w:pos="425"/>
        </w:tabs>
        <w:adjustRightInd w:val="0"/>
        <w:snapToGrid w:val="0"/>
        <w:ind w:firstLine="480"/>
        <w:jc w:val="both"/>
        <w:rPr>
          <w:rFonts w:ascii="宋体" w:hAnsi="宋体" w:cs="宋体"/>
          <w:color w:val="auto"/>
          <w:highlight w:val="none"/>
        </w:rPr>
      </w:pPr>
      <w:r>
        <w:rPr>
          <w:rFonts w:hint="eastAsia"/>
          <w:color w:val="auto"/>
          <w:highlight w:val="none"/>
        </w:rPr>
        <w:t>1、采样率</w:t>
      </w:r>
      <w:r>
        <w:rPr>
          <w:rFonts w:hint="eastAsia" w:ascii="宋体" w:hAnsi="宋体" w:cs="宋体"/>
          <w:color w:val="auto"/>
          <w:highlight w:val="none"/>
        </w:rPr>
        <w:t>：48KHz</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2、内置自动混合器，支持多通道同时输入混音；</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3、输出电平：+4dBu,1KHz</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4、动态范围：≥109dB</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5、谐波失真：≤0.003%</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6、内部串音：≥80dB</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7、频率响应特性：20Hz-20KHz,±0.5d</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8、音乐滤波器：三段</w:t>
      </w:r>
    </w:p>
    <w:p>
      <w:pPr>
        <w:tabs>
          <w:tab w:val="left" w:pos="425"/>
        </w:tabs>
        <w:adjustRightInd w:val="0"/>
        <w:snapToGrid w:val="0"/>
        <w:ind w:firstLine="420"/>
        <w:jc w:val="both"/>
        <w:rPr>
          <w:color w:val="auto"/>
          <w:highlight w:val="none"/>
        </w:rPr>
      </w:pPr>
      <w:r>
        <w:rPr>
          <w:rFonts w:hint="eastAsia" w:ascii="宋体" w:hAnsi="宋体" w:cs="宋体"/>
          <w:color w:val="auto"/>
          <w:highlight w:val="none"/>
        </w:rPr>
        <w:t>9、输入/输出接口</w:t>
      </w:r>
      <w:r>
        <w:rPr>
          <w:rFonts w:hint="eastAsia"/>
          <w:color w:val="auto"/>
          <w:highlight w:val="none"/>
        </w:rPr>
        <w:t>：XLR和TRS</w:t>
      </w:r>
    </w:p>
    <w:p>
      <w:pPr>
        <w:adjustRightInd w:val="0"/>
        <w:snapToGrid w:val="0"/>
        <w:jc w:val="both"/>
        <w:rPr>
          <w:b/>
          <w:bCs/>
          <w:color w:val="auto"/>
          <w:highlight w:val="none"/>
        </w:rPr>
      </w:pPr>
      <w:r>
        <w:rPr>
          <w:rFonts w:hint="eastAsia"/>
          <w:b/>
          <w:bCs/>
          <w:color w:val="auto"/>
          <w:highlight w:val="none"/>
        </w:rPr>
        <w:t>（6）无线手持话筒</w:t>
      </w:r>
    </w:p>
    <w:p>
      <w:pPr>
        <w:tabs>
          <w:tab w:val="left" w:pos="425"/>
        </w:tabs>
        <w:adjustRightInd w:val="0"/>
        <w:snapToGrid w:val="0"/>
        <w:ind w:firstLine="480"/>
        <w:jc w:val="both"/>
        <w:rPr>
          <w:rFonts w:ascii="宋体" w:hAnsi="宋体" w:cs="宋体"/>
          <w:color w:val="auto"/>
          <w:highlight w:val="none"/>
        </w:rPr>
      </w:pPr>
      <w:r>
        <w:rPr>
          <w:rFonts w:hint="eastAsia"/>
          <w:color w:val="auto"/>
          <w:highlight w:val="none"/>
        </w:rPr>
        <w:t>1、一拖二</w:t>
      </w:r>
      <w:r>
        <w:rPr>
          <w:rFonts w:hint="eastAsia" w:ascii="宋体" w:hAnsi="宋体" w:cs="宋体"/>
          <w:color w:val="auto"/>
          <w:highlight w:val="none"/>
        </w:rPr>
        <w:t>UHF 无线手持麦克风；</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2、支持一键设定(接收)互不干扰双通道；</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3、不少于64 个预设频段，</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4、有效接收距离：不低于60 米。</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5、音频频率响应： 40HZ-18KHz（±3dB）</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6、增益微调范围：0 至 21 dB（1dB 步进）</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7、动态范围： &gt;105dB</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8、天线类型：内置式</w:t>
      </w:r>
    </w:p>
    <w:p>
      <w:pPr>
        <w:tabs>
          <w:tab w:val="left" w:pos="425"/>
        </w:tabs>
        <w:adjustRightInd w:val="0"/>
        <w:snapToGrid w:val="0"/>
        <w:ind w:firstLine="482"/>
        <w:jc w:val="both"/>
        <w:rPr>
          <w:b/>
          <w:bCs/>
          <w:color w:val="auto"/>
          <w:highlight w:val="none"/>
        </w:rPr>
      </w:pPr>
      <w:r>
        <w:rPr>
          <w:rFonts w:hint="eastAsia"/>
          <w:b/>
          <w:bCs/>
          <w:color w:val="auto"/>
          <w:highlight w:val="none"/>
        </w:rPr>
        <w:t>（7）电源时序器</w:t>
      </w:r>
    </w:p>
    <w:p>
      <w:pPr>
        <w:tabs>
          <w:tab w:val="left" w:pos="425"/>
        </w:tabs>
        <w:adjustRightInd w:val="0"/>
        <w:snapToGrid w:val="0"/>
        <w:ind w:firstLine="480"/>
        <w:jc w:val="both"/>
        <w:rPr>
          <w:rFonts w:ascii="宋体" w:hAnsi="宋体" w:cs="宋体"/>
          <w:color w:val="auto"/>
          <w:highlight w:val="none"/>
        </w:rPr>
      </w:pPr>
      <w:r>
        <w:rPr>
          <w:rFonts w:hint="eastAsia"/>
          <w:color w:val="auto"/>
          <w:highlight w:val="none"/>
        </w:rPr>
        <w:t>1、通道数</w:t>
      </w:r>
      <w:r>
        <w:rPr>
          <w:rFonts w:hint="eastAsia" w:ascii="宋体" w:hAnsi="宋体" w:cs="宋体"/>
          <w:color w:val="auto"/>
          <w:highlight w:val="none"/>
        </w:rPr>
        <w:t>量：8路</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2、输出电压220V</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3、供电规格：内置开关电源，适用全球电压AC90-260V 50-60HZ</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4、功能特点：</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①顺序开启逆序关闭</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②前面板带LED指示灯实时显示每路插座的供电状态并推送到控制终端实时显示</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③每路开关间隔时间/定时时间：1秒</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④支持叠机级联</w:t>
      </w:r>
    </w:p>
    <w:p>
      <w:pPr>
        <w:tabs>
          <w:tab w:val="left" w:pos="425"/>
        </w:tabs>
        <w:adjustRightInd w:val="0"/>
        <w:snapToGrid w:val="0"/>
        <w:ind w:firstLine="420"/>
        <w:jc w:val="both"/>
        <w:rPr>
          <w:color w:val="auto"/>
          <w:highlight w:val="none"/>
        </w:rPr>
      </w:pPr>
      <w:r>
        <w:rPr>
          <w:rFonts w:hint="eastAsia" w:ascii="宋体" w:hAnsi="宋体" w:cs="宋体"/>
          <w:color w:val="auto"/>
          <w:highlight w:val="none"/>
        </w:rPr>
        <w:t>⑤稳压保护，短</w:t>
      </w:r>
      <w:r>
        <w:rPr>
          <w:rFonts w:hint="eastAsia"/>
          <w:color w:val="auto"/>
          <w:highlight w:val="none"/>
        </w:rPr>
        <w:t>路保护，过热保护，过流保护，过压保护，过放保护</w:t>
      </w:r>
    </w:p>
    <w:p>
      <w:pPr>
        <w:adjustRightInd w:val="0"/>
        <w:snapToGrid w:val="0"/>
        <w:jc w:val="both"/>
        <w:rPr>
          <w:b/>
          <w:bCs/>
          <w:color w:val="auto"/>
          <w:highlight w:val="none"/>
        </w:rPr>
      </w:pPr>
      <w:r>
        <w:rPr>
          <w:rFonts w:hint="eastAsia"/>
          <w:b/>
          <w:bCs/>
          <w:color w:val="auto"/>
          <w:highlight w:val="none"/>
        </w:rPr>
        <w:t>（8）无线数字会议主机</w:t>
      </w:r>
    </w:p>
    <w:p>
      <w:pPr>
        <w:tabs>
          <w:tab w:val="left" w:pos="425"/>
        </w:tabs>
        <w:adjustRightInd w:val="0"/>
        <w:snapToGrid w:val="0"/>
        <w:ind w:firstLine="480"/>
        <w:jc w:val="both"/>
        <w:rPr>
          <w:color w:val="auto"/>
          <w:highlight w:val="none"/>
        </w:rPr>
      </w:pPr>
      <w:r>
        <w:rPr>
          <w:rFonts w:hint="eastAsia"/>
          <w:color w:val="auto"/>
          <w:highlight w:val="none"/>
        </w:rPr>
        <w:t>1、拾音技术：阵列麦克风</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2、拾音输出阻抗： 200Ω</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3、指向性：定向宽带式</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4、灵敏度： 38dB</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5、最大声压级： 113dB SPL@1kHz</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 xml:space="preserve">6、拾音距离： </w:t>
      </w:r>
      <w:r>
        <w:rPr>
          <w:rFonts w:ascii="宋体" w:hAnsi="宋体" w:cs="宋体"/>
          <w:color w:val="auto"/>
          <w:highlight w:val="none"/>
        </w:rPr>
        <w:t>60-80</w:t>
      </w:r>
      <w:r>
        <w:rPr>
          <w:rFonts w:hint="eastAsia" w:ascii="宋体" w:hAnsi="宋体" w:cs="宋体"/>
          <w:color w:val="auto"/>
          <w:highlight w:val="none"/>
        </w:rPr>
        <w:t>cm</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7、连接不少于20支会议单元</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8、支持先入先出模式，后入后出模式，限制模式，电脑/主席允许模式，自由讨论模式</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9、带有RS232接口，可以连接电脑或中央控制系统</w:t>
      </w:r>
    </w:p>
    <w:p>
      <w:pPr>
        <w:tabs>
          <w:tab w:val="left" w:pos="425"/>
        </w:tabs>
        <w:adjustRightInd w:val="0"/>
        <w:snapToGrid w:val="0"/>
        <w:ind w:firstLine="420"/>
        <w:jc w:val="both"/>
        <w:rPr>
          <w:color w:val="auto"/>
          <w:highlight w:val="none"/>
        </w:rPr>
      </w:pPr>
      <w:r>
        <w:rPr>
          <w:rFonts w:hint="eastAsia" w:ascii="宋体" w:hAnsi="宋体" w:cs="宋体"/>
          <w:color w:val="auto"/>
          <w:highlight w:val="none"/>
        </w:rPr>
        <w:t>10、带有RS232视频控</w:t>
      </w:r>
      <w:r>
        <w:rPr>
          <w:rFonts w:hint="eastAsia"/>
          <w:color w:val="auto"/>
          <w:highlight w:val="none"/>
        </w:rPr>
        <w:t>制输出口，控制摄像机自动跟踪</w:t>
      </w:r>
    </w:p>
    <w:p>
      <w:pPr>
        <w:adjustRightInd w:val="0"/>
        <w:snapToGrid w:val="0"/>
        <w:jc w:val="both"/>
        <w:rPr>
          <w:b/>
          <w:bCs/>
          <w:color w:val="auto"/>
          <w:highlight w:val="none"/>
        </w:rPr>
      </w:pPr>
      <w:r>
        <w:rPr>
          <w:rFonts w:hint="eastAsia"/>
          <w:b/>
          <w:bCs/>
          <w:color w:val="auto"/>
          <w:highlight w:val="none"/>
        </w:rPr>
        <w:t>（9）无线数字会议单元(主席/代表)</w:t>
      </w:r>
    </w:p>
    <w:p>
      <w:pPr>
        <w:tabs>
          <w:tab w:val="left" w:pos="425"/>
        </w:tabs>
        <w:adjustRightInd w:val="0"/>
        <w:snapToGrid w:val="0"/>
        <w:ind w:firstLine="480"/>
        <w:jc w:val="both"/>
        <w:rPr>
          <w:rFonts w:ascii="宋体" w:hAnsi="宋体" w:cs="宋体"/>
          <w:color w:val="auto"/>
          <w:highlight w:val="none"/>
        </w:rPr>
      </w:pPr>
      <w:r>
        <w:rPr>
          <w:rFonts w:hint="eastAsia"/>
          <w:color w:val="auto"/>
          <w:highlight w:val="none"/>
        </w:rPr>
        <w:t>1、麦</w:t>
      </w:r>
      <w:r>
        <w:rPr>
          <w:rFonts w:hint="eastAsia" w:ascii="宋体" w:hAnsi="宋体" w:cs="宋体"/>
          <w:color w:val="auto"/>
          <w:highlight w:val="none"/>
        </w:rPr>
        <w:t>克风灵敏度：&gt;20dBM（1V）</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2、信噪比：&gt;65dB</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3、动态范围：95dB</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4、频率响应：100Hz-10KHz</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5、总谐波失真：≤0.05%</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6、音频无线传输延时：＜5ms</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7、射频功率输出：≤10dBm(参考值)</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8、通信频段：600MHz-700MHz</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9、主席话筒具备优先功能,一键关闭所有正在发言的代表单元</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10、内置不低于2、4英寸的彩色LCD屏，可显示话筒状态、剩余电量、ID号、使用频道以及发言时间计算</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11、内置发言计时功能，打开麦克风则在LCD屏上显示计时，方便发言者控制发言时长</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12、采用WIFI无线控制技术与UHF无线音频传输技术相结合(600-</w:t>
      </w:r>
      <w:r>
        <w:rPr>
          <w:rFonts w:ascii="宋体" w:hAnsi="宋体" w:cs="宋体"/>
          <w:color w:val="auto"/>
          <w:highlight w:val="none"/>
        </w:rPr>
        <w:t>70</w:t>
      </w:r>
      <w:r>
        <w:rPr>
          <w:rFonts w:hint="eastAsia" w:ascii="宋体" w:hAnsi="宋体" w:cs="宋体"/>
          <w:color w:val="auto"/>
          <w:highlight w:val="none"/>
        </w:rPr>
        <w:t>0MHz)</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13、内置1200mAh大容量充电式锂电池，一次充电可待机16小时，连续使用时间达6--8小时</w:t>
      </w:r>
    </w:p>
    <w:p>
      <w:pPr>
        <w:tabs>
          <w:tab w:val="left" w:pos="425"/>
        </w:tabs>
        <w:adjustRightInd w:val="0"/>
        <w:snapToGrid w:val="0"/>
        <w:ind w:firstLine="420"/>
        <w:jc w:val="both"/>
        <w:rPr>
          <w:color w:val="auto"/>
          <w:highlight w:val="none"/>
        </w:rPr>
      </w:pPr>
      <w:r>
        <w:rPr>
          <w:rFonts w:hint="eastAsia" w:ascii="宋体" w:hAnsi="宋体" w:cs="宋体"/>
          <w:color w:val="auto"/>
          <w:highlight w:val="none"/>
        </w:rPr>
        <w:t>14、含放大天线、充电</w:t>
      </w:r>
      <w:r>
        <w:rPr>
          <w:rFonts w:hint="eastAsia"/>
          <w:color w:val="auto"/>
          <w:highlight w:val="none"/>
        </w:rPr>
        <w:t>器等辅助设备</w:t>
      </w:r>
    </w:p>
    <w:p>
      <w:pPr>
        <w:adjustRightInd w:val="0"/>
        <w:snapToGrid w:val="0"/>
        <w:jc w:val="both"/>
        <w:rPr>
          <w:b/>
          <w:bCs/>
          <w:color w:val="auto"/>
          <w:highlight w:val="none"/>
        </w:rPr>
      </w:pPr>
      <w:r>
        <w:rPr>
          <w:rFonts w:hint="eastAsia"/>
          <w:b/>
          <w:bCs/>
          <w:color w:val="auto"/>
          <w:highlight w:val="none"/>
        </w:rPr>
        <w:t>（1</w:t>
      </w:r>
      <w:r>
        <w:rPr>
          <w:b/>
          <w:bCs/>
          <w:color w:val="auto"/>
          <w:highlight w:val="none"/>
        </w:rPr>
        <w:t>0</w:t>
      </w:r>
      <w:r>
        <w:rPr>
          <w:rFonts w:hint="eastAsia"/>
          <w:b/>
          <w:bCs/>
          <w:color w:val="auto"/>
          <w:highlight w:val="none"/>
        </w:rPr>
        <w:t>）高清会议摄像机</w:t>
      </w:r>
    </w:p>
    <w:p>
      <w:pPr>
        <w:tabs>
          <w:tab w:val="left" w:pos="425"/>
        </w:tabs>
        <w:adjustRightInd w:val="0"/>
        <w:snapToGrid w:val="0"/>
        <w:ind w:firstLine="480"/>
        <w:jc w:val="both"/>
        <w:rPr>
          <w:rFonts w:ascii="宋体" w:hAnsi="宋体" w:cs="宋体"/>
          <w:color w:val="auto"/>
          <w:highlight w:val="none"/>
        </w:rPr>
      </w:pPr>
      <w:r>
        <w:rPr>
          <w:rFonts w:hint="eastAsia"/>
          <w:color w:val="auto"/>
          <w:highlight w:val="none"/>
        </w:rPr>
        <w:t>1、具</w:t>
      </w:r>
      <w:r>
        <w:rPr>
          <w:rFonts w:hint="eastAsia" w:ascii="宋体" w:hAnsi="宋体" w:cs="宋体"/>
          <w:color w:val="auto"/>
          <w:highlight w:val="none"/>
        </w:rPr>
        <w:t>有200 万像素CMOS 传感器，全高清1080p；</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2、不低于20 倍光学变焦镜头；</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3、1/2.8 英寸CMOS 成像器；</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4、具有电子翻转功能，可适用桌面安装和天花板吊顶安装。</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5、可接入腾讯会议、华为云会议等软件视频会议软件</w:t>
      </w:r>
    </w:p>
    <w:p>
      <w:pPr>
        <w:tabs>
          <w:tab w:val="left" w:pos="425"/>
        </w:tabs>
        <w:adjustRightInd w:val="0"/>
        <w:snapToGrid w:val="0"/>
        <w:ind w:firstLine="420"/>
        <w:jc w:val="both"/>
        <w:rPr>
          <w:color w:val="auto"/>
          <w:highlight w:val="none"/>
        </w:rPr>
      </w:pPr>
      <w:r>
        <w:rPr>
          <w:rFonts w:hint="eastAsia" w:ascii="宋体" w:hAnsi="宋体" w:cs="宋体"/>
          <w:color w:val="auto"/>
          <w:highlight w:val="none"/>
        </w:rPr>
        <w:t>6、支持吊装（</w:t>
      </w:r>
      <w:r>
        <w:rPr>
          <w:rFonts w:hint="eastAsia"/>
          <w:color w:val="auto"/>
          <w:highlight w:val="none"/>
        </w:rPr>
        <w:t>带支架）、支架式安装（带支架）</w:t>
      </w:r>
    </w:p>
    <w:p>
      <w:pPr>
        <w:adjustRightInd w:val="0"/>
        <w:snapToGrid w:val="0"/>
        <w:jc w:val="both"/>
        <w:rPr>
          <w:b/>
          <w:bCs/>
          <w:color w:val="auto"/>
          <w:highlight w:val="none"/>
        </w:rPr>
      </w:pPr>
      <w:r>
        <w:rPr>
          <w:rFonts w:hint="eastAsia"/>
          <w:b/>
          <w:bCs/>
          <w:color w:val="auto"/>
          <w:highlight w:val="none"/>
        </w:rPr>
        <w:t>（1</w:t>
      </w:r>
      <w:r>
        <w:rPr>
          <w:b/>
          <w:bCs/>
          <w:color w:val="auto"/>
          <w:highlight w:val="none"/>
        </w:rPr>
        <w:t>1</w:t>
      </w:r>
      <w:r>
        <w:rPr>
          <w:rFonts w:hint="eastAsia"/>
          <w:b/>
          <w:bCs/>
          <w:color w:val="auto"/>
          <w:highlight w:val="none"/>
        </w:rPr>
        <w:t>）中控系统</w:t>
      </w:r>
    </w:p>
    <w:p>
      <w:pPr>
        <w:tabs>
          <w:tab w:val="left" w:pos="425"/>
        </w:tabs>
        <w:adjustRightInd w:val="0"/>
        <w:snapToGrid w:val="0"/>
        <w:ind w:firstLine="480"/>
        <w:jc w:val="both"/>
        <w:rPr>
          <w:rFonts w:ascii="宋体" w:hAnsi="宋体" w:cs="宋体"/>
          <w:color w:val="auto"/>
          <w:highlight w:val="none"/>
        </w:rPr>
      </w:pPr>
      <w:r>
        <w:rPr>
          <w:rFonts w:hint="eastAsia"/>
          <w:color w:val="auto"/>
          <w:highlight w:val="none"/>
        </w:rPr>
        <w:t>1、支持可</w:t>
      </w:r>
      <w:r>
        <w:rPr>
          <w:rFonts w:hint="eastAsia" w:ascii="宋体" w:hAnsi="宋体" w:cs="宋体"/>
          <w:color w:val="auto"/>
          <w:highlight w:val="none"/>
        </w:rPr>
        <w:t>视化，支持视频可视化预监，支持音频音量可视化显示，支持环境状态参数可视化显示，支持数据信息可视化显示，支持外接设备状态可视化显示</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2、支持对视频拼接处理器的叠加、漫游、开窗、切换、场景调用控制</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3、支持添加和管控多种设备，支持视频设备、分布式设备、控制网关、音频设备、环境设备管理、IPC、IP电源控制器，对设备进行统一集中管控</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4、可编程模式，可自定义端口、模式、波特率、延时、内置多种逻辑功能，支持数据转发、协议转换等</w:t>
      </w:r>
    </w:p>
    <w:p>
      <w:pPr>
        <w:tabs>
          <w:tab w:val="left" w:pos="425"/>
        </w:tabs>
        <w:adjustRightInd w:val="0"/>
        <w:snapToGrid w:val="0"/>
        <w:ind w:firstLine="420"/>
        <w:jc w:val="both"/>
        <w:rPr>
          <w:rFonts w:ascii="宋体" w:hAnsi="宋体" w:cs="宋体"/>
          <w:color w:val="auto"/>
          <w:highlight w:val="none"/>
        </w:rPr>
      </w:pPr>
      <w:r>
        <w:rPr>
          <w:rFonts w:hint="eastAsia" w:ascii="宋体" w:hAnsi="宋体" w:cs="宋体"/>
          <w:color w:val="auto"/>
          <w:highlight w:val="none"/>
        </w:rPr>
        <w:t>5、集成WIFI模块，可选AP或Station模式，可直连各种移动终端设备，支持24个终端连接</w:t>
      </w:r>
    </w:p>
    <w:p>
      <w:pPr>
        <w:tabs>
          <w:tab w:val="left" w:pos="425"/>
        </w:tabs>
        <w:adjustRightInd w:val="0"/>
        <w:snapToGrid w:val="0"/>
        <w:ind w:firstLine="420"/>
        <w:jc w:val="both"/>
        <w:rPr>
          <w:color w:val="auto"/>
          <w:highlight w:val="none"/>
        </w:rPr>
      </w:pPr>
      <w:r>
        <w:rPr>
          <w:rFonts w:hint="eastAsia" w:ascii="宋体" w:hAnsi="宋体" w:cs="宋体"/>
          <w:color w:val="auto"/>
          <w:highlight w:val="none"/>
        </w:rPr>
        <w:t>6、配套iPad无</w:t>
      </w:r>
      <w:r>
        <w:rPr>
          <w:rFonts w:hint="eastAsia"/>
          <w:color w:val="auto"/>
          <w:highlight w:val="none"/>
        </w:rPr>
        <w:t>线触摸屏，通过</w:t>
      </w:r>
      <w:r>
        <w:rPr>
          <w:rFonts w:hint="eastAsia" w:ascii="宋体" w:hAnsi="宋体" w:cs="宋体"/>
          <w:color w:val="auto"/>
          <w:highlight w:val="none"/>
        </w:rPr>
        <w:t>ipad</w:t>
      </w:r>
      <w:r>
        <w:rPr>
          <w:rFonts w:hint="eastAsia"/>
          <w:color w:val="auto"/>
          <w:highlight w:val="none"/>
        </w:rPr>
        <w:t>实现视频信号切换、音频调节、电源控制</w:t>
      </w:r>
    </w:p>
    <w:p>
      <w:pPr>
        <w:pStyle w:val="5"/>
        <w:rPr>
          <w:rFonts w:ascii="宋体" w:hAnsi="宋体" w:eastAsia="宋体" w:cs="宋体"/>
          <w:color w:val="auto"/>
          <w:highlight w:val="none"/>
        </w:rPr>
      </w:pPr>
      <w:r>
        <w:rPr>
          <w:rFonts w:hint="eastAsia" w:ascii="宋体" w:hAnsi="宋体" w:eastAsia="宋体" w:cs="宋体"/>
          <w:color w:val="auto"/>
          <w:highlight w:val="none"/>
        </w:rPr>
        <w:t>四、检验考核验收要求</w:t>
      </w:r>
      <w:bookmarkEnd w:id="196"/>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验收方式：</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1、货物到达现场后，中选人应在使用单位人员在场情况下当面开箱，共同清点、检查外观，作出开箱记录，双方签字确认。</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2、中选人应保证货物到达比选人所在地完好无损，如有缺漏、损坏，由供应商负责调换、补齐或赔偿。</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3、中选人应提供完备的技术资料、装箱单和合格证等，并派遣专业技术人员进行现场调试。验收合格条件如下：</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（1）设备技术参数与采购合同一致，性能指标达到规定的标准。</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（2）货物技术资料、装箱单、合格证等资料齐全。</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（3）在系统试运行期间所出现的问题得到解决，并运行正常。</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（4）在规定时间内完成交货并验收，并经比选人确认。</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4、产品在安装调试并试运行符合要求后，才作为最终验收。</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5、供应商提供的货物未达到比选文件规定要求，且对比选人造成损失的，由供应商承担一切责任，并赔偿所造成的损失。</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6、比选人需要制造商对中选人交付的产品（包括质量、技术参数等）进行确认的，制造商应予以配合，并出具书面意见。</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7、产品包装材料归比选人所有。</w:t>
      </w:r>
    </w:p>
    <w:p>
      <w:pPr>
        <w:pStyle w:val="5"/>
        <w:rPr>
          <w:rFonts w:ascii="宋体" w:hAnsi="宋体" w:eastAsia="宋体" w:cs="宋体"/>
          <w:color w:val="auto"/>
          <w:highlight w:val="none"/>
        </w:rPr>
      </w:pPr>
      <w:bookmarkStart w:id="199" w:name="_Toc491883227"/>
      <w:r>
        <w:rPr>
          <w:rFonts w:hint="eastAsia" w:ascii="宋体" w:hAnsi="宋体" w:eastAsia="宋体" w:cs="宋体"/>
          <w:color w:val="auto"/>
          <w:highlight w:val="none"/>
        </w:rPr>
        <w:t>五、技术服务和质保期服务要求</w:t>
      </w:r>
      <w:bookmarkEnd w:id="199"/>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5.1、技术服务</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中选人应派遣技术熟练、称职的技术人员到施工场地为买方提供技术服务。中选人的技术服务应符合合同的约定。</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比选人应免费为卖方技术人员提供工作条件及便利，包括但不限于必要的办公场所、技术资料及出入许可等。除专用合同条款另有约定外，中选人技术人员的交通、食宿费用由卖方承担。</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中选人技术人员应遵守买方施工现场的各项规章制度和安全操作规程，并服从比选人的现场管理。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如果任何技术人员不合格，比选人有权要求卖方撤换，因撤换而产生的费用应由中选人承担。在不影响技术服务并且征得比选人同意的条件下，中选人也可自负费用更换其技术人员。</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5.2、质量保证及售后服务</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（一）产品质量保证期</w:t>
      </w:r>
    </w:p>
    <w:p>
      <w:pPr>
        <w:spacing w:line="440" w:lineRule="exact"/>
        <w:ind w:firstLine="359" w:firstLineChars="17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1、比选申请人应明确承诺：其比选申请产品质量保证期达到3年。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比选申请人可以在此基础上做出更有利于比选人的承诺</w:t>
      </w:r>
      <w:r>
        <w:rPr>
          <w:rFonts w:hint="eastAsia" w:ascii="宋体" w:hAnsi="宋体" w:cs="宋体"/>
          <w:color w:val="auto"/>
          <w:szCs w:val="21"/>
          <w:highlight w:val="none"/>
          <w:lang w:eastAsia="zh-CN"/>
        </w:rPr>
        <w:t>）</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2、比选申请产品属于国家规定“三包”范围的，其产品质量保证期不得低于“三包”规定。</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3、比选申请人的质量保证期承诺优于国家“三包”规定的，按比选申请人实际承诺执行。</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4、比选申请产品由制造商（指产品生产制造商，或其负责销售、售后服务机构，以下同）负责标准售后服务的，应当在比选申请文件中予以明确说明，并附制造商售后服务承诺。</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（二）售后服务内容</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1、比选申请人和制造商在质量保证期内应当为比选人提供以下技术支持和服务：</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（1）电话咨询</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中选人应当为比选人提供技术援助电话，解答比选人在使用中遇到的问题，及时为比选人提出解决问题的建议。</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（2）现场响应</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比选人遇到使用及技术问题，电话咨询不能解决的，现场距离成都100KM内中选人应在2小内到达现场进行处理；现场距离成都＞100KM＜200KM内中选人应在4小内到达现场进行处理；现场距离成都＞200KM＜400KM内中选人应在6小内到达现场进行处理；现场距离成都＞400KM中选人应在8小内到达现场进行处理；确保产品正常工作。</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（3）技术升级</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在质保期内，如果中选人和制造商的产品技术升级，供应商应及时通知比选人，如比选人有相应要求，中选人和制造商应对比选人购买的产品进行升级服务。</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2、质保期外服务要求</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（1）质量保证期过后，供应商和制造商应同样提供免费电话咨询服务，并应承诺提供产品上门维护服务。</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（2）质量保证期过后，比选人需要继续由原供应商和制造商提供售后服务的，该供应商和制造商应以优惠价格提供售后服务。</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（三）备品备件及易损件</w:t>
      </w:r>
    </w:p>
    <w:p>
      <w:pPr>
        <w:spacing w:line="440" w:lineRule="exact"/>
        <w:ind w:firstLine="359" w:firstLineChars="171"/>
        <w:rPr>
          <w:rFonts w:ascii="宋体" w:hAnsi="宋体" w:cs="宋体"/>
          <w:color w:val="auto"/>
          <w:highlight w:val="none"/>
        </w:rPr>
      </w:pPr>
      <w:r>
        <w:rPr>
          <w:rFonts w:hint="eastAsia" w:ascii="宋体" w:hAnsi="宋体" w:cs="宋体"/>
          <w:color w:val="auto"/>
          <w:szCs w:val="21"/>
          <w:highlight w:val="none"/>
        </w:rPr>
        <w:t>中选人和制造商售后服务中，维修使用的备品备件及易损件应为原厂配件，未经比选人同意不得使用非原厂配件，常用的、容易损坏的备品备件及易损件的价格清单须在比选申请文件中列出。</w:t>
      </w:r>
      <w:r>
        <w:rPr>
          <w:rFonts w:hint="eastAsia" w:ascii="宋体" w:hAnsi="宋体" w:cs="宋体"/>
          <w:color w:val="auto"/>
          <w:highlight w:val="none"/>
        </w:rPr>
        <w:br w:type="page"/>
      </w:r>
    </w:p>
    <w:p>
      <w:pPr>
        <w:pStyle w:val="4"/>
        <w:jc w:val="center"/>
        <w:rPr>
          <w:rFonts w:ascii="宋体" w:hAnsi="宋体" w:eastAsia="宋体" w:cs="宋体"/>
          <w:b/>
          <w:bCs/>
          <w:color w:val="auto"/>
          <w:sz w:val="36"/>
          <w:szCs w:val="36"/>
          <w:highlight w:val="none"/>
        </w:rPr>
      </w:pPr>
      <w:bookmarkStart w:id="200" w:name="_Toc14556"/>
      <w:bookmarkStart w:id="201" w:name="_Toc27269"/>
      <w:r>
        <w:rPr>
          <w:rFonts w:hint="eastAsia" w:ascii="宋体" w:hAnsi="宋体" w:eastAsia="宋体" w:cs="宋体"/>
          <w:b/>
          <w:bCs/>
          <w:color w:val="auto"/>
          <w:sz w:val="36"/>
          <w:szCs w:val="36"/>
          <w:highlight w:val="none"/>
        </w:rPr>
        <w:t>第六章 比选申请文件格式</w:t>
      </w:r>
      <w:bookmarkEnd w:id="200"/>
      <w:bookmarkEnd w:id="201"/>
    </w:p>
    <w:p>
      <w:pPr>
        <w:spacing w:line="400" w:lineRule="exact"/>
        <w:ind w:firstLine="420"/>
        <w:rPr>
          <w:rFonts w:ascii="宋体" w:hAnsi="宋体" w:cs="宋体"/>
          <w:color w:val="auto"/>
          <w:highlight w:val="none"/>
        </w:rPr>
      </w:pPr>
    </w:p>
    <w:p>
      <w:pPr>
        <w:spacing w:line="400" w:lineRule="exact"/>
        <w:ind w:firstLine="420"/>
        <w:rPr>
          <w:rFonts w:ascii="宋体" w:hAnsi="宋体" w:cs="宋体"/>
          <w:color w:val="auto"/>
          <w:highlight w:val="none"/>
        </w:rPr>
      </w:pPr>
      <w:r>
        <w:rPr>
          <w:rFonts w:hint="eastAsia" w:ascii="宋体" w:hAnsi="宋体" w:cs="宋体"/>
          <w:color w:val="auto"/>
          <w:highlight w:val="none"/>
        </w:rPr>
        <w:br w:type="page"/>
      </w:r>
    </w:p>
    <w:p>
      <w:pPr>
        <w:spacing w:line="400" w:lineRule="exact"/>
        <w:ind w:firstLine="420"/>
        <w:rPr>
          <w:rFonts w:ascii="宋体" w:hAnsi="宋体" w:cs="宋体"/>
          <w:color w:val="auto"/>
          <w:highlight w:val="none"/>
        </w:rPr>
      </w:pP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（项目名称）</w:t>
      </w:r>
    </w:p>
    <w:p>
      <w:pPr>
        <w:jc w:val="center"/>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标段</w:t>
      </w:r>
    </w:p>
    <w:p>
      <w:pPr>
        <w:ind w:firstLine="400"/>
        <w:rPr>
          <w:rFonts w:ascii="宋体" w:hAnsi="宋体" w:cs="宋体"/>
          <w:color w:val="auto"/>
          <w:sz w:val="20"/>
          <w:highlight w:val="none"/>
        </w:rPr>
      </w:pPr>
    </w:p>
    <w:p>
      <w:pPr>
        <w:ind w:firstLine="400"/>
        <w:rPr>
          <w:rFonts w:ascii="宋体" w:hAnsi="宋体" w:cs="宋体"/>
          <w:color w:val="auto"/>
          <w:sz w:val="20"/>
          <w:highlight w:val="none"/>
        </w:rPr>
      </w:pPr>
    </w:p>
    <w:p>
      <w:pPr>
        <w:ind w:firstLine="400"/>
        <w:rPr>
          <w:rFonts w:ascii="宋体" w:hAnsi="宋体" w:cs="宋体"/>
          <w:color w:val="auto"/>
          <w:sz w:val="20"/>
          <w:highlight w:val="none"/>
        </w:rPr>
      </w:pPr>
    </w:p>
    <w:p>
      <w:pPr>
        <w:ind w:firstLine="400"/>
        <w:rPr>
          <w:rFonts w:ascii="宋体" w:hAnsi="宋体" w:cs="宋体"/>
          <w:color w:val="auto"/>
          <w:sz w:val="20"/>
          <w:highlight w:val="none"/>
        </w:rPr>
      </w:pPr>
    </w:p>
    <w:p>
      <w:pPr>
        <w:ind w:firstLine="400"/>
        <w:rPr>
          <w:rFonts w:ascii="宋体" w:hAnsi="宋体" w:cs="宋体"/>
          <w:color w:val="auto"/>
          <w:sz w:val="20"/>
          <w:highlight w:val="none"/>
        </w:rPr>
      </w:pPr>
    </w:p>
    <w:p>
      <w:pPr>
        <w:ind w:firstLine="400"/>
        <w:rPr>
          <w:rFonts w:ascii="宋体" w:hAnsi="宋体" w:cs="宋体"/>
          <w:color w:val="auto"/>
          <w:sz w:val="20"/>
          <w:highlight w:val="none"/>
        </w:rPr>
      </w:pPr>
    </w:p>
    <w:p>
      <w:pPr>
        <w:ind w:firstLine="400"/>
        <w:rPr>
          <w:rFonts w:ascii="宋体" w:hAnsi="宋体" w:cs="宋体"/>
          <w:color w:val="auto"/>
          <w:sz w:val="20"/>
          <w:highlight w:val="none"/>
        </w:rPr>
      </w:pPr>
    </w:p>
    <w:p>
      <w:pPr>
        <w:ind w:firstLine="400"/>
        <w:rPr>
          <w:rFonts w:ascii="宋体" w:hAnsi="宋体" w:cs="宋体"/>
          <w:color w:val="auto"/>
          <w:sz w:val="20"/>
          <w:highlight w:val="none"/>
        </w:rPr>
      </w:pPr>
    </w:p>
    <w:p>
      <w:pPr>
        <w:ind w:firstLine="400"/>
        <w:rPr>
          <w:rFonts w:ascii="宋体" w:hAnsi="宋体" w:cs="宋体"/>
          <w:color w:val="auto"/>
          <w:sz w:val="20"/>
          <w:highlight w:val="none"/>
        </w:rPr>
      </w:pPr>
    </w:p>
    <w:p>
      <w:pPr>
        <w:ind w:firstLine="400"/>
        <w:rPr>
          <w:rFonts w:ascii="宋体" w:hAnsi="宋体" w:cs="宋体"/>
          <w:color w:val="auto"/>
          <w:sz w:val="20"/>
          <w:highlight w:val="none"/>
        </w:rPr>
      </w:pPr>
    </w:p>
    <w:p>
      <w:pPr>
        <w:jc w:val="center"/>
        <w:rPr>
          <w:rFonts w:ascii="宋体" w:hAnsi="宋体" w:cs="宋体"/>
          <w:color w:val="auto"/>
          <w:sz w:val="52"/>
          <w:szCs w:val="28"/>
          <w:highlight w:val="none"/>
        </w:rPr>
      </w:pPr>
      <w:r>
        <w:rPr>
          <w:rFonts w:hint="eastAsia" w:ascii="宋体" w:hAnsi="宋体" w:cs="宋体"/>
          <w:color w:val="auto"/>
          <w:sz w:val="52"/>
          <w:szCs w:val="28"/>
          <w:highlight w:val="none"/>
        </w:rPr>
        <w:t>比 选 申 请 文 件</w:t>
      </w:r>
    </w:p>
    <w:p>
      <w:pPr>
        <w:ind w:firstLine="560"/>
        <w:rPr>
          <w:rFonts w:ascii="宋体" w:hAnsi="宋体" w:cs="宋体"/>
          <w:color w:val="auto"/>
          <w:sz w:val="28"/>
          <w:highlight w:val="none"/>
        </w:rPr>
      </w:pPr>
    </w:p>
    <w:p>
      <w:pPr>
        <w:ind w:firstLine="560"/>
        <w:rPr>
          <w:rFonts w:ascii="宋体" w:hAnsi="宋体" w:cs="宋体"/>
          <w:color w:val="auto"/>
          <w:sz w:val="28"/>
          <w:highlight w:val="none"/>
        </w:rPr>
      </w:pPr>
    </w:p>
    <w:p>
      <w:pPr>
        <w:ind w:firstLine="560"/>
        <w:rPr>
          <w:rFonts w:ascii="宋体" w:hAnsi="宋体" w:cs="宋体"/>
          <w:color w:val="auto"/>
          <w:sz w:val="28"/>
          <w:highlight w:val="none"/>
        </w:rPr>
      </w:pPr>
    </w:p>
    <w:p>
      <w:pPr>
        <w:ind w:firstLine="560"/>
        <w:rPr>
          <w:rFonts w:ascii="宋体" w:hAnsi="宋体" w:cs="宋体"/>
          <w:color w:val="auto"/>
          <w:sz w:val="28"/>
          <w:highlight w:val="none"/>
        </w:rPr>
      </w:pPr>
    </w:p>
    <w:p>
      <w:pPr>
        <w:ind w:firstLine="560"/>
        <w:rPr>
          <w:rFonts w:ascii="宋体" w:hAnsi="宋体" w:cs="宋体"/>
          <w:color w:val="auto"/>
          <w:sz w:val="28"/>
          <w:highlight w:val="none"/>
        </w:rPr>
      </w:pPr>
    </w:p>
    <w:p>
      <w:pPr>
        <w:ind w:firstLine="560"/>
        <w:rPr>
          <w:rFonts w:ascii="宋体" w:hAnsi="宋体" w:cs="宋体"/>
          <w:color w:val="auto"/>
          <w:sz w:val="28"/>
          <w:highlight w:val="none"/>
        </w:rPr>
      </w:pPr>
    </w:p>
    <w:p>
      <w:pPr>
        <w:ind w:firstLine="560"/>
        <w:rPr>
          <w:rFonts w:ascii="宋体" w:hAnsi="宋体" w:cs="宋体"/>
          <w:color w:val="auto"/>
          <w:sz w:val="28"/>
          <w:highlight w:val="none"/>
        </w:rPr>
      </w:pPr>
    </w:p>
    <w:p>
      <w:pPr>
        <w:ind w:firstLine="560"/>
        <w:rPr>
          <w:rFonts w:ascii="宋体" w:hAnsi="宋体" w:cs="宋体"/>
          <w:color w:val="auto"/>
          <w:sz w:val="28"/>
          <w:highlight w:val="none"/>
        </w:rPr>
      </w:pPr>
    </w:p>
    <w:p>
      <w:pPr>
        <w:ind w:firstLine="560"/>
        <w:rPr>
          <w:rFonts w:ascii="宋体" w:hAnsi="宋体" w:cs="宋体"/>
          <w:color w:val="auto"/>
          <w:sz w:val="28"/>
          <w:highlight w:val="none"/>
        </w:rPr>
      </w:pPr>
    </w:p>
    <w:p>
      <w:pPr>
        <w:ind w:firstLine="1120" w:firstLineChars="400"/>
        <w:rPr>
          <w:rFonts w:ascii="宋体" w:hAnsi="宋体" w:cs="宋体"/>
          <w:color w:val="auto"/>
          <w:sz w:val="28"/>
          <w:highlight w:val="none"/>
          <w:u w:val="single"/>
        </w:rPr>
      </w:pPr>
      <w:r>
        <w:rPr>
          <w:rFonts w:hint="eastAsia" w:ascii="宋体" w:hAnsi="宋体" w:cs="宋体"/>
          <w:color w:val="auto"/>
          <w:sz w:val="28"/>
          <w:highlight w:val="none"/>
        </w:rPr>
        <w:t>比选申请人：</w:t>
      </w:r>
      <w:r>
        <w:rPr>
          <w:rFonts w:hint="eastAsia" w:ascii="宋体" w:hAnsi="宋体" w:cs="宋体"/>
          <w:color w:val="auto"/>
          <w:highlight w:val="none"/>
          <w:u w:val="single"/>
        </w:rPr>
        <w:t xml:space="preserve">                                       </w:t>
      </w:r>
      <w:r>
        <w:rPr>
          <w:rFonts w:hint="eastAsia" w:ascii="宋体" w:hAnsi="宋体" w:cs="宋体"/>
          <w:color w:val="auto"/>
          <w:sz w:val="28"/>
          <w:highlight w:val="none"/>
        </w:rPr>
        <w:t>（盖单位章）</w:t>
      </w:r>
    </w:p>
    <w:p>
      <w:pPr>
        <w:ind w:firstLine="1120" w:firstLineChars="400"/>
        <w:rPr>
          <w:rFonts w:ascii="宋体" w:hAnsi="宋体" w:cs="宋体"/>
          <w:color w:val="auto"/>
          <w:sz w:val="28"/>
          <w:highlight w:val="none"/>
        </w:rPr>
      </w:pPr>
      <w:r>
        <w:rPr>
          <w:rFonts w:hint="eastAsia" w:ascii="宋体" w:hAnsi="宋体" w:cs="宋体"/>
          <w:color w:val="auto"/>
          <w:sz w:val="28"/>
          <w:highlight w:val="none"/>
        </w:rPr>
        <w:t>法定代表人（单位负责人）或其委托代理人：</w:t>
      </w:r>
      <w:r>
        <w:rPr>
          <w:rFonts w:hint="eastAsia" w:ascii="宋体" w:hAnsi="宋体" w:cs="宋体"/>
          <w:color w:val="auto"/>
          <w:highlight w:val="none"/>
          <w:u w:val="single"/>
        </w:rPr>
        <w:t xml:space="preserve">       </w:t>
      </w:r>
      <w:r>
        <w:rPr>
          <w:rFonts w:hint="eastAsia" w:ascii="宋体" w:hAnsi="宋体" w:cs="宋体"/>
          <w:color w:val="auto"/>
          <w:sz w:val="28"/>
          <w:highlight w:val="none"/>
        </w:rPr>
        <w:t>（签字）</w:t>
      </w:r>
    </w:p>
    <w:p>
      <w:pPr>
        <w:ind w:firstLine="560"/>
        <w:jc w:val="center"/>
        <w:rPr>
          <w:rFonts w:ascii="宋体" w:hAnsi="宋体" w:cs="宋体"/>
          <w:color w:val="auto"/>
          <w:sz w:val="28"/>
          <w:highlight w:val="none"/>
        </w:rPr>
      </w:pPr>
    </w:p>
    <w:p>
      <w:pPr>
        <w:spacing w:line="400" w:lineRule="exact"/>
        <w:ind w:firstLine="420"/>
        <w:jc w:val="center"/>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sz w:val="28"/>
          <w:highlight w:val="none"/>
        </w:rPr>
        <w:t>年</w:t>
      </w:r>
      <w:r>
        <w:rPr>
          <w:rFonts w:hint="eastAsia" w:ascii="宋体" w:hAnsi="宋体" w:cs="宋体"/>
          <w:color w:val="auto"/>
          <w:highlight w:val="none"/>
          <w:u w:val="single"/>
        </w:rPr>
        <w:t xml:space="preserve">       </w:t>
      </w:r>
      <w:r>
        <w:rPr>
          <w:rFonts w:hint="eastAsia" w:ascii="宋体" w:hAnsi="宋体" w:cs="宋体"/>
          <w:color w:val="auto"/>
          <w:sz w:val="28"/>
          <w:highlight w:val="none"/>
        </w:rPr>
        <w:t>月</w:t>
      </w:r>
      <w:r>
        <w:rPr>
          <w:rFonts w:hint="eastAsia" w:ascii="宋体" w:hAnsi="宋体" w:cs="宋体"/>
          <w:color w:val="auto"/>
          <w:highlight w:val="none"/>
          <w:u w:val="single"/>
        </w:rPr>
        <w:t xml:space="preserve">       </w:t>
      </w:r>
      <w:r>
        <w:rPr>
          <w:rFonts w:hint="eastAsia" w:ascii="宋体" w:hAnsi="宋体" w:cs="宋体"/>
          <w:color w:val="auto"/>
          <w:sz w:val="28"/>
          <w:highlight w:val="none"/>
        </w:rPr>
        <w:t>日</w:t>
      </w:r>
      <w:r>
        <w:rPr>
          <w:rFonts w:hint="eastAsia" w:ascii="宋体" w:hAnsi="宋体" w:cs="宋体"/>
          <w:color w:val="auto"/>
          <w:highlight w:val="none"/>
        </w:rPr>
        <w:br w:type="page"/>
      </w:r>
    </w:p>
    <w:p>
      <w:pPr>
        <w:pStyle w:val="5"/>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目  录</w:t>
      </w:r>
    </w:p>
    <w:p>
      <w:pPr>
        <w:spacing w:line="540" w:lineRule="exact"/>
        <w:ind w:firstLine="420"/>
        <w:rPr>
          <w:rFonts w:ascii="宋体" w:hAnsi="宋体" w:cs="宋体"/>
          <w:color w:val="auto"/>
          <w:highlight w:val="none"/>
        </w:rPr>
      </w:pPr>
      <w:bookmarkStart w:id="202" w:name="_Toc7039"/>
      <w:bookmarkStart w:id="203" w:name="_Toc369531691"/>
      <w:bookmarkStart w:id="204" w:name="_Toc352691655"/>
      <w:r>
        <w:rPr>
          <w:rFonts w:hint="eastAsia" w:ascii="宋体" w:hAnsi="宋体" w:cs="宋体"/>
          <w:color w:val="auto"/>
          <w:highlight w:val="none"/>
        </w:rPr>
        <w:t>一、比选申请函</w:t>
      </w:r>
    </w:p>
    <w:p>
      <w:pPr>
        <w:spacing w:line="540" w:lineRule="exact"/>
        <w:ind w:firstLine="420"/>
        <w:rPr>
          <w:rFonts w:ascii="宋体" w:hAnsi="宋体" w:cs="宋体"/>
          <w:color w:val="auto"/>
          <w:highlight w:val="none"/>
        </w:rPr>
      </w:pPr>
      <w:r>
        <w:rPr>
          <w:rFonts w:hint="eastAsia" w:ascii="宋体" w:hAnsi="宋体" w:cs="宋体"/>
          <w:color w:val="auto"/>
          <w:highlight w:val="none"/>
        </w:rPr>
        <w:t>二、法定代表人身份证明（适用于无委托代理人的情况）</w:t>
      </w:r>
    </w:p>
    <w:p>
      <w:pPr>
        <w:spacing w:line="540" w:lineRule="exact"/>
        <w:ind w:firstLine="420"/>
        <w:rPr>
          <w:rFonts w:ascii="宋体" w:hAnsi="宋体" w:cs="宋体"/>
          <w:color w:val="auto"/>
          <w:highlight w:val="none"/>
        </w:rPr>
      </w:pPr>
      <w:r>
        <w:rPr>
          <w:rFonts w:hint="eastAsia" w:ascii="宋体" w:hAnsi="宋体" w:cs="宋体"/>
          <w:color w:val="auto"/>
          <w:highlight w:val="none"/>
        </w:rPr>
        <w:t>二、授权委托书（适用于有委托代理人的情况）</w:t>
      </w:r>
    </w:p>
    <w:p>
      <w:pPr>
        <w:spacing w:line="540" w:lineRule="exact"/>
        <w:ind w:firstLine="420"/>
        <w:rPr>
          <w:rFonts w:ascii="宋体" w:hAnsi="宋体" w:cs="宋体"/>
          <w:color w:val="auto"/>
          <w:highlight w:val="none"/>
        </w:rPr>
      </w:pPr>
      <w:r>
        <w:rPr>
          <w:rFonts w:hint="eastAsia" w:ascii="宋体" w:hAnsi="宋体" w:cs="宋体"/>
          <w:color w:val="auto"/>
          <w:highlight w:val="none"/>
        </w:rPr>
        <w:t>三、比选申请保证金</w:t>
      </w:r>
    </w:p>
    <w:p>
      <w:pPr>
        <w:spacing w:line="540" w:lineRule="exact"/>
        <w:ind w:firstLine="420"/>
        <w:rPr>
          <w:rFonts w:ascii="宋体" w:hAnsi="宋体" w:cs="宋体"/>
          <w:color w:val="auto"/>
          <w:highlight w:val="none"/>
        </w:rPr>
      </w:pPr>
      <w:r>
        <w:rPr>
          <w:rFonts w:hint="eastAsia" w:ascii="宋体" w:hAnsi="宋体" w:cs="宋体"/>
          <w:color w:val="auto"/>
          <w:highlight w:val="none"/>
        </w:rPr>
        <w:t>四、分项报价表</w:t>
      </w:r>
    </w:p>
    <w:p>
      <w:pPr>
        <w:spacing w:line="540" w:lineRule="exact"/>
        <w:ind w:firstLine="420"/>
        <w:rPr>
          <w:rFonts w:ascii="宋体" w:hAnsi="宋体" w:cs="宋体"/>
          <w:color w:val="auto"/>
          <w:highlight w:val="none"/>
        </w:rPr>
      </w:pPr>
      <w:r>
        <w:rPr>
          <w:rFonts w:hint="eastAsia" w:ascii="宋体" w:hAnsi="宋体" w:cs="宋体"/>
          <w:color w:val="auto"/>
          <w:highlight w:val="none"/>
        </w:rPr>
        <w:t>五、资格审查资料</w:t>
      </w:r>
    </w:p>
    <w:p>
      <w:pPr>
        <w:spacing w:line="540" w:lineRule="exact"/>
        <w:ind w:firstLine="420"/>
        <w:rPr>
          <w:rFonts w:ascii="宋体" w:hAnsi="宋体" w:cs="宋体"/>
          <w:color w:val="auto"/>
          <w:highlight w:val="none"/>
        </w:rPr>
      </w:pPr>
      <w:r>
        <w:rPr>
          <w:rFonts w:hint="eastAsia" w:ascii="宋体" w:hAnsi="宋体" w:cs="宋体"/>
          <w:color w:val="auto"/>
          <w:highlight w:val="none"/>
        </w:rPr>
        <w:t>六、拟提供设备技术性能指标的详细描述</w:t>
      </w:r>
    </w:p>
    <w:p>
      <w:pPr>
        <w:spacing w:line="540" w:lineRule="exact"/>
        <w:ind w:firstLine="420"/>
        <w:rPr>
          <w:rFonts w:ascii="宋体" w:hAnsi="宋体" w:cs="宋体"/>
          <w:color w:val="auto"/>
          <w:highlight w:val="none"/>
        </w:rPr>
      </w:pPr>
      <w:r>
        <w:rPr>
          <w:rFonts w:hint="eastAsia" w:ascii="宋体" w:hAnsi="宋体" w:cs="宋体"/>
          <w:color w:val="auto"/>
          <w:highlight w:val="none"/>
        </w:rPr>
        <w:t>七、技术支持资料</w:t>
      </w:r>
    </w:p>
    <w:p>
      <w:pPr>
        <w:spacing w:line="540" w:lineRule="exact"/>
        <w:ind w:firstLine="420"/>
        <w:rPr>
          <w:rFonts w:ascii="宋体" w:hAnsi="宋体" w:cs="宋体"/>
          <w:color w:val="auto"/>
          <w:highlight w:val="none"/>
        </w:rPr>
      </w:pPr>
      <w:r>
        <w:rPr>
          <w:rFonts w:hint="eastAsia" w:ascii="宋体" w:hAnsi="宋体" w:cs="宋体"/>
          <w:color w:val="auto"/>
          <w:highlight w:val="none"/>
        </w:rPr>
        <w:t>八、技术服务和质保期服务计划</w:t>
      </w:r>
    </w:p>
    <w:p>
      <w:pPr>
        <w:spacing w:line="540" w:lineRule="exact"/>
        <w:ind w:firstLine="420"/>
        <w:rPr>
          <w:rFonts w:ascii="宋体" w:hAnsi="宋体" w:cs="宋体"/>
          <w:color w:val="auto"/>
          <w:sz w:val="20"/>
          <w:highlight w:val="none"/>
        </w:rPr>
      </w:pPr>
      <w:r>
        <w:rPr>
          <w:rFonts w:hint="eastAsia" w:ascii="宋体" w:hAnsi="宋体" w:cs="宋体"/>
          <w:color w:val="auto"/>
          <w:highlight w:val="none"/>
        </w:rPr>
        <w:t>九、其他资料</w:t>
      </w:r>
      <w:r>
        <w:rPr>
          <w:rFonts w:hint="eastAsia" w:ascii="宋体" w:hAnsi="宋体" w:cs="宋体"/>
          <w:color w:val="auto"/>
          <w:highlight w:val="none"/>
        </w:rPr>
        <w:br w:type="page"/>
      </w:r>
    </w:p>
    <w:bookmarkEnd w:id="202"/>
    <w:bookmarkEnd w:id="203"/>
    <w:bookmarkEnd w:id="204"/>
    <w:p>
      <w:pPr>
        <w:pStyle w:val="5"/>
        <w:rPr>
          <w:rFonts w:ascii="宋体" w:hAnsi="宋体" w:eastAsia="宋体" w:cs="宋体"/>
          <w:color w:val="auto"/>
          <w:highlight w:val="none"/>
        </w:rPr>
      </w:pPr>
      <w:r>
        <w:rPr>
          <w:rFonts w:hint="eastAsia" w:ascii="宋体" w:hAnsi="宋体" w:eastAsia="宋体" w:cs="宋体"/>
          <w:color w:val="auto"/>
          <w:highlight w:val="none"/>
        </w:rPr>
        <w:t>一、比选申请</w:t>
      </w:r>
      <w:bookmarkStart w:id="205" w:name="_Toc369531692"/>
      <w:bookmarkStart w:id="206" w:name="_Toc6931"/>
      <w:bookmarkStart w:id="207" w:name="_Toc352691656"/>
      <w:r>
        <w:rPr>
          <w:rFonts w:hint="eastAsia" w:ascii="宋体" w:hAnsi="宋体" w:eastAsia="宋体" w:cs="宋体"/>
          <w:color w:val="auto"/>
          <w:highlight w:val="none"/>
        </w:rPr>
        <w:t>函</w:t>
      </w:r>
    </w:p>
    <w:bookmarkEnd w:id="205"/>
    <w:bookmarkEnd w:id="206"/>
    <w:bookmarkEnd w:id="207"/>
    <w:p>
      <w:pPr>
        <w:spacing w:line="440" w:lineRule="exact"/>
        <w:ind w:firstLine="420"/>
        <w:rPr>
          <w:rFonts w:ascii="宋体" w:hAnsi="宋体" w:cs="宋体"/>
          <w:color w:val="auto"/>
          <w:szCs w:val="21"/>
          <w:highlight w:val="none"/>
        </w:rPr>
      </w:pPr>
      <w:r>
        <w:rPr>
          <w:rFonts w:hint="eastAsia" w:ascii="宋体" w:hAnsi="宋体" w:cs="宋体"/>
          <w:color w:val="auto"/>
          <w:highlight w:val="none"/>
          <w:u w:val="single"/>
        </w:rPr>
        <w:t xml:space="preserve">                  </w:t>
      </w:r>
      <w:r>
        <w:rPr>
          <w:rFonts w:hint="eastAsia" w:ascii="宋体" w:hAnsi="宋体" w:cs="宋体"/>
          <w:color w:val="auto"/>
          <w:szCs w:val="21"/>
          <w:highlight w:val="none"/>
        </w:rPr>
        <w:t>（比选人名称）：</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color w:val="auto"/>
          <w:highlight w:val="none"/>
          <w:u w:val="single"/>
        </w:rPr>
        <w:t xml:space="preserve">                  </w:t>
      </w:r>
      <w:r>
        <w:rPr>
          <w:rFonts w:hint="eastAsia" w:ascii="宋体" w:hAnsi="宋体" w:cs="宋体"/>
          <w:color w:val="auto"/>
          <w:highlight w:val="none"/>
        </w:rPr>
        <w:t>（比选项目名称）第</w:t>
      </w:r>
      <w:r>
        <w:rPr>
          <w:rFonts w:hint="eastAsia" w:ascii="宋体" w:hAnsi="宋体" w:cs="宋体"/>
          <w:color w:val="auto"/>
          <w:highlight w:val="none"/>
          <w:u w:val="single"/>
        </w:rPr>
        <w:t xml:space="preserve">    </w:t>
      </w:r>
      <w:r>
        <w:rPr>
          <w:rFonts w:hint="eastAsia" w:ascii="宋体" w:hAnsi="宋体" w:cs="宋体"/>
          <w:color w:val="auto"/>
          <w:highlight w:val="none"/>
        </w:rPr>
        <w:t>标段设备采购比选项目</w:t>
      </w:r>
      <w:r>
        <w:rPr>
          <w:rFonts w:hint="eastAsia" w:ascii="宋体" w:hAnsi="宋体" w:cs="宋体"/>
          <w:color w:val="auto"/>
          <w:szCs w:val="21"/>
          <w:highlight w:val="none"/>
        </w:rPr>
        <w:t>比选文件的全部内容，愿意以</w:t>
      </w: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元（¥</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szCs w:val="21"/>
          <w:highlight w:val="none"/>
        </w:rPr>
        <w:t>的比选申请总报价，在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（供货期内）提供</w:t>
      </w:r>
      <w:r>
        <w:rPr>
          <w:rFonts w:hint="eastAsia" w:ascii="宋体" w:hAnsi="宋体" w:cs="宋体"/>
          <w:color w:val="auto"/>
          <w:highlight w:val="none"/>
          <w:u w:val="single"/>
        </w:rPr>
        <w:t xml:space="preserve">                 </w:t>
      </w:r>
      <w:r>
        <w:rPr>
          <w:rFonts w:hint="eastAsia" w:ascii="宋体" w:hAnsi="宋体" w:cs="宋体"/>
          <w:color w:val="auto"/>
          <w:szCs w:val="21"/>
          <w:highlight w:val="none"/>
        </w:rPr>
        <w:t>（设备名称）至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（交货地点）及安装、调试技术服务和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个月质量保证期服务（质量保证期应不低于</w:t>
      </w:r>
      <w:r>
        <w:rPr>
          <w:rFonts w:ascii="宋体" w:hAnsi="宋体" w:cs="宋体"/>
          <w:color w:val="auto"/>
          <w:szCs w:val="21"/>
          <w:highlight w:val="none"/>
        </w:rPr>
        <w:t>36</w:t>
      </w:r>
      <w:r>
        <w:rPr>
          <w:rFonts w:hint="eastAsia" w:ascii="宋体" w:hAnsi="宋体" w:cs="宋体"/>
          <w:color w:val="auto"/>
          <w:szCs w:val="21"/>
          <w:highlight w:val="none"/>
        </w:rPr>
        <w:t>个月），并按合同约定履行义务。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我方的比选申请文件包括下列内容：</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（1）比选申请函</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（2）法定代表人身份证明或授权委托书</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（3）分项报价表</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（4）资格审查资料</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（5）设备技术性能指标的详细描述</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（6）技术支持资料</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（7）技术服务和质保期服务计划</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（8）其他资料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比选申请文件的上述组成部分如存在内容不一致的，以比选申请函为准。</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3．我方承诺响应比选文件的全部要求。</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4．我方承诺在比选文件规定的比选申请有效期内不撤销比选申请文件。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5．如我方中选，我方承诺：</w:t>
      </w:r>
    </w:p>
    <w:p>
      <w:pPr>
        <w:spacing w:line="440" w:lineRule="exact"/>
        <w:ind w:left="945" w:leftChars="400" w:hanging="105" w:hangingChars="50"/>
        <w:rPr>
          <w:rFonts w:ascii="宋体" w:hAnsi="宋体" w:cs="宋体"/>
          <w:color w:val="auto"/>
          <w:szCs w:val="21"/>
          <w:highlight w:val="none"/>
        </w:rPr>
      </w:pPr>
      <w:r>
        <w:rPr>
          <w:rFonts w:hint="eastAsia" w:ascii="宋体" w:hAnsi="宋体" w:cs="宋体"/>
          <w:color w:val="auto"/>
          <w:szCs w:val="21"/>
          <w:highlight w:val="none"/>
        </w:rPr>
        <w:t>（1）在收到中选通知书后，在中选通知书规定的期限内与你方签订合同；</w:t>
      </w:r>
    </w:p>
    <w:p>
      <w:pPr>
        <w:spacing w:line="440" w:lineRule="exact"/>
        <w:ind w:left="945" w:leftChars="400" w:hanging="105" w:hangingChars="50"/>
        <w:rPr>
          <w:rFonts w:ascii="宋体" w:hAnsi="宋体" w:cs="宋体"/>
          <w:color w:val="auto"/>
          <w:szCs w:val="21"/>
          <w:highlight w:val="none"/>
        </w:rPr>
      </w:pPr>
      <w:r>
        <w:rPr>
          <w:rFonts w:hint="eastAsia" w:ascii="宋体" w:hAnsi="宋体" w:cs="宋体"/>
          <w:color w:val="auto"/>
          <w:szCs w:val="21"/>
          <w:highlight w:val="none"/>
        </w:rPr>
        <w:t>（2）</w:t>
      </w:r>
      <w:bookmarkStart w:id="208" w:name="_Toc1187"/>
      <w:bookmarkStart w:id="209" w:name="_Toc352691658"/>
      <w:bookmarkStart w:id="210" w:name="_Toc369531694"/>
      <w:r>
        <w:rPr>
          <w:rFonts w:hint="eastAsia" w:ascii="宋体" w:hAnsi="宋体" w:cs="宋体"/>
          <w:color w:val="auto"/>
          <w:szCs w:val="21"/>
          <w:highlight w:val="none"/>
        </w:rPr>
        <w:t>在合</w:t>
      </w:r>
      <w:bookmarkEnd w:id="208"/>
      <w:bookmarkEnd w:id="209"/>
      <w:bookmarkEnd w:id="210"/>
      <w:r>
        <w:rPr>
          <w:rFonts w:hint="eastAsia" w:ascii="宋体" w:hAnsi="宋体" w:cs="宋体"/>
          <w:color w:val="auto"/>
          <w:szCs w:val="21"/>
          <w:highlight w:val="none"/>
        </w:rPr>
        <w:t>同约定的期限内完成合同规定的全部义务。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highlight w:val="none"/>
        </w:rPr>
        <w:t>我方在此声明，所递交的比选申请文件及有关资料内容完整、真实和准确，且不存在第二章“比选申请人须知”第1.4.3项规定的任何一种情形。</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（其他补充说明）。</w:t>
      </w:r>
    </w:p>
    <w:p>
      <w:pPr>
        <w:spacing w:line="440" w:lineRule="exact"/>
        <w:ind w:firstLine="420" w:firstLineChars="200"/>
        <w:rPr>
          <w:rFonts w:ascii="宋体" w:hAnsi="宋体" w:cs="宋体"/>
          <w:color w:val="auto"/>
          <w:szCs w:val="21"/>
          <w:highlight w:val="none"/>
        </w:rPr>
      </w:pPr>
    </w:p>
    <w:p>
      <w:pPr>
        <w:spacing w:line="440" w:lineRule="exact"/>
        <w:ind w:firstLine="420" w:firstLineChars="200"/>
        <w:rPr>
          <w:rFonts w:ascii="宋体" w:hAnsi="宋体" w:cs="宋体"/>
          <w:color w:val="auto"/>
          <w:szCs w:val="21"/>
          <w:highlight w:val="none"/>
        </w:rPr>
      </w:pPr>
    </w:p>
    <w:bookmarkEnd w:id="169"/>
    <w:bookmarkEnd w:id="170"/>
    <w:bookmarkEnd w:id="171"/>
    <w:bookmarkEnd w:id="172"/>
    <w:bookmarkEnd w:id="173"/>
    <w:bookmarkEnd w:id="174"/>
    <w:bookmarkEnd w:id="175"/>
    <w:bookmarkEnd w:id="191"/>
    <w:bookmarkEnd w:id="192"/>
    <w:p>
      <w:pPr>
        <w:spacing w:line="440" w:lineRule="exact"/>
        <w:ind w:firstLine="2520" w:firstLineChars="1200"/>
        <w:rPr>
          <w:rFonts w:ascii="宋体" w:hAnsi="宋体" w:cs="宋体"/>
          <w:color w:val="auto"/>
          <w:szCs w:val="21"/>
          <w:highlight w:val="none"/>
        </w:rPr>
      </w:pPr>
      <w:bookmarkStart w:id="211" w:name="_Toc16568"/>
      <w:bookmarkEnd w:id="211"/>
      <w:bookmarkStart w:id="212" w:name="_Toc352691659"/>
      <w:bookmarkEnd w:id="212"/>
      <w:bookmarkStart w:id="213" w:name="_Toc369531695"/>
      <w:bookmarkEnd w:id="213"/>
      <w:bookmarkStart w:id="214" w:name="_Toc369531696"/>
      <w:bookmarkEnd w:id="214"/>
      <w:bookmarkStart w:id="215" w:name="_Toc16824"/>
      <w:bookmarkEnd w:id="215"/>
      <w:bookmarkStart w:id="216" w:name="_Toc352691660"/>
      <w:bookmarkEnd w:id="216"/>
      <w:r>
        <w:rPr>
          <w:rFonts w:hint="eastAsia" w:ascii="宋体" w:hAnsi="宋体" w:cs="宋体"/>
          <w:color w:val="auto"/>
          <w:szCs w:val="21"/>
          <w:highlight w:val="none"/>
        </w:rPr>
        <w:t>比选申请人：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（盖单位章）</w:t>
      </w:r>
    </w:p>
    <w:p>
      <w:pPr>
        <w:spacing w:line="440" w:lineRule="exact"/>
        <w:ind w:firstLine="420"/>
        <w:rPr>
          <w:rFonts w:ascii="宋体" w:hAnsi="宋体" w:cs="宋体"/>
          <w:color w:val="auto"/>
          <w:szCs w:val="21"/>
          <w:highlight w:val="none"/>
        </w:rPr>
      </w:pPr>
      <w:r>
        <w:rPr>
          <w:rFonts w:hint="eastAsia" w:ascii="宋体" w:hAnsi="宋体" w:cs="宋体"/>
          <w:color w:val="auto"/>
          <w:highlight w:val="none"/>
        </w:rPr>
        <w:t xml:space="preserve">                    法定代表人</w:t>
      </w:r>
      <w:r>
        <w:rPr>
          <w:rFonts w:hint="eastAsia" w:ascii="宋体" w:hAnsi="宋体" w:cs="宋体"/>
          <w:color w:val="auto"/>
          <w:szCs w:val="21"/>
          <w:highlight w:val="none"/>
        </w:rPr>
        <w:t>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（签字）</w:t>
      </w:r>
    </w:p>
    <w:p>
      <w:pPr>
        <w:spacing w:line="440" w:lineRule="exact"/>
        <w:ind w:firstLine="2520" w:firstLineChars="120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pPr>
        <w:spacing w:line="440" w:lineRule="exact"/>
        <w:ind w:firstLine="2520" w:firstLineChars="1200"/>
        <w:rPr>
          <w:rFonts w:ascii="宋体" w:hAnsi="宋体" w:cs="宋体"/>
          <w:color w:val="auto"/>
          <w:szCs w:val="21"/>
          <w:highlight w:val="none"/>
        </w:rPr>
      </w:pPr>
      <w:r>
        <w:rPr>
          <w:rFonts w:hint="eastAsia" w:ascii="宋体" w:hAnsi="宋体" w:cs="宋体"/>
          <w:color w:val="auto"/>
          <w:szCs w:val="21"/>
          <w:highlight w:val="none"/>
        </w:rPr>
        <w:t>网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pPr>
        <w:spacing w:line="440" w:lineRule="exact"/>
        <w:ind w:firstLine="2520" w:firstLineChars="1200"/>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pPr>
        <w:spacing w:line="440" w:lineRule="exact"/>
        <w:ind w:firstLine="2520" w:firstLineChars="1200"/>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pPr>
        <w:spacing w:line="440" w:lineRule="exact"/>
        <w:ind w:firstLine="2520" w:firstLineChars="1200"/>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pPr>
        <w:spacing w:line="440" w:lineRule="exact"/>
        <w:ind w:firstLine="4725" w:firstLineChars="2250"/>
        <w:jc w:val="right"/>
        <w:rPr>
          <w:rFonts w:ascii="宋体" w:hAnsi="宋体" w:cs="宋体"/>
          <w:color w:val="auto"/>
          <w:szCs w:val="21"/>
          <w:highlight w:val="none"/>
        </w:rPr>
      </w:pPr>
      <w:r>
        <w:rPr>
          <w:rFonts w:hint="eastAsia" w:ascii="宋体" w:hAnsi="宋体" w:cs="宋体"/>
          <w:color w:val="auto"/>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highlight w:val="none"/>
          <w:u w:val="single"/>
        </w:rPr>
        <w:t xml:space="preserve">      </w:t>
      </w:r>
      <w:r>
        <w:rPr>
          <w:rFonts w:hint="eastAsia" w:ascii="宋体" w:hAnsi="宋体" w:cs="宋体"/>
          <w:color w:val="auto"/>
          <w:szCs w:val="21"/>
          <w:highlight w:val="none"/>
        </w:rPr>
        <w:t>日</w:t>
      </w:r>
    </w:p>
    <w:p>
      <w:pPr>
        <w:spacing w:line="240" w:lineRule="auto"/>
        <w:rPr>
          <w:rFonts w:ascii="宋体" w:hAnsi="宋体" w:cs="宋体"/>
          <w:color w:val="auto"/>
          <w:szCs w:val="21"/>
          <w:highlight w:val="none"/>
        </w:rPr>
      </w:pPr>
      <w:r>
        <w:rPr>
          <w:rFonts w:hint="eastAsia" w:ascii="宋体" w:hAnsi="宋体" w:cs="宋体"/>
          <w:color w:val="auto"/>
          <w:szCs w:val="21"/>
          <w:highlight w:val="none"/>
        </w:rPr>
        <w:br w:type="page"/>
      </w:r>
    </w:p>
    <w:p>
      <w:pPr>
        <w:pStyle w:val="5"/>
        <w:ind w:left="0" w:firstLine="0"/>
        <w:rPr>
          <w:rFonts w:ascii="宋体" w:hAnsi="宋体" w:eastAsia="宋体" w:cs="宋体"/>
          <w:color w:val="auto"/>
          <w:highlight w:val="none"/>
        </w:rPr>
      </w:pPr>
      <w:bookmarkStart w:id="217" w:name="_Toc144974856"/>
      <w:bookmarkStart w:id="218" w:name="_Toc384308375"/>
      <w:bookmarkStart w:id="219" w:name="_Toc247514246"/>
      <w:bookmarkStart w:id="220" w:name="_Toc17960"/>
      <w:bookmarkStart w:id="221" w:name="_Toc361508752"/>
      <w:bookmarkStart w:id="222" w:name="_Toc247527827"/>
      <w:bookmarkStart w:id="223" w:name="_Toc300835209"/>
      <w:bookmarkStart w:id="224" w:name="_Toc152042576"/>
      <w:bookmarkStart w:id="225" w:name="_Toc352691661"/>
      <w:bookmarkStart w:id="226" w:name="_Toc152045787"/>
      <w:bookmarkStart w:id="227" w:name="_Toc369531697"/>
      <w:r>
        <w:rPr>
          <w:rFonts w:hint="eastAsia" w:ascii="宋体" w:hAnsi="宋体" w:eastAsia="宋体" w:cs="宋体"/>
          <w:color w:val="auto"/>
          <w:highlight w:val="none"/>
        </w:rPr>
        <w:t>二</w:t>
      </w:r>
      <w:bookmarkEnd w:id="217"/>
      <w:bookmarkEnd w:id="218"/>
      <w:bookmarkEnd w:id="219"/>
      <w:bookmarkEnd w:id="220"/>
      <w:bookmarkEnd w:id="221"/>
      <w:bookmarkEnd w:id="222"/>
      <w:bookmarkEnd w:id="223"/>
      <w:bookmarkEnd w:id="224"/>
      <w:bookmarkEnd w:id="225"/>
      <w:bookmarkEnd w:id="226"/>
      <w:bookmarkEnd w:id="227"/>
      <w:r>
        <w:rPr>
          <w:rFonts w:hint="eastAsia" w:ascii="宋体" w:hAnsi="宋体" w:eastAsia="宋体" w:cs="宋体"/>
          <w:color w:val="auto"/>
          <w:highlight w:val="none"/>
        </w:rPr>
        <w:t>、法定代表人身份证明</w:t>
      </w:r>
    </w:p>
    <w:p>
      <w:pPr>
        <w:spacing w:line="440" w:lineRule="exact"/>
        <w:ind w:firstLine="400"/>
        <w:rPr>
          <w:rFonts w:ascii="宋体" w:hAnsi="宋体" w:cs="宋体"/>
          <w:color w:val="auto"/>
          <w:sz w:val="20"/>
          <w:highlight w:val="none"/>
        </w:rPr>
      </w:pPr>
    </w:p>
    <w:p>
      <w:pPr>
        <w:spacing w:line="440" w:lineRule="exact"/>
        <w:rPr>
          <w:rFonts w:ascii="宋体" w:hAnsi="宋体" w:cs="宋体"/>
          <w:color w:val="auto"/>
          <w:highlight w:val="none"/>
        </w:rPr>
      </w:pPr>
      <w:r>
        <w:rPr>
          <w:rFonts w:hint="eastAsia" w:ascii="宋体" w:hAnsi="宋体" w:cs="宋体"/>
          <w:color w:val="auto"/>
          <w:highlight w:val="none"/>
        </w:rPr>
        <w:t>比选申请人名称：</w:t>
      </w:r>
      <w:r>
        <w:rPr>
          <w:rFonts w:hint="eastAsia" w:ascii="宋体" w:hAnsi="宋体" w:cs="宋体"/>
          <w:color w:val="auto"/>
          <w:highlight w:val="none"/>
          <w:u w:val="single"/>
        </w:rPr>
        <w:t xml:space="preserve">                        </w:t>
      </w:r>
    </w:p>
    <w:p>
      <w:pPr>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姓名</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性别：</w:t>
      </w:r>
      <w:bookmarkStart w:id="228" w:name="_Toc369531698"/>
      <w:bookmarkStart w:id="229" w:name="_Toc27897"/>
      <w:bookmarkStart w:id="230" w:name="_Toc352691662"/>
      <w:r>
        <w:rPr>
          <w:rFonts w:hint="eastAsia" w:ascii="宋体" w:hAnsi="宋体" w:cs="宋体"/>
          <w:color w:val="auto"/>
          <w:highlight w:val="none"/>
          <w:u w:val="single"/>
        </w:rPr>
        <w:t xml:space="preserve">        </w:t>
      </w:r>
      <w:r>
        <w:rPr>
          <w:rFonts w:hint="eastAsia" w:ascii="宋体" w:hAnsi="宋体" w:cs="宋体"/>
          <w:color w:val="auto"/>
          <w:highlight w:val="none"/>
        </w:rPr>
        <w:t>年</w:t>
      </w:r>
      <w:bookmarkEnd w:id="228"/>
      <w:bookmarkEnd w:id="229"/>
      <w:bookmarkEnd w:id="230"/>
      <w:r>
        <w:rPr>
          <w:rFonts w:hint="eastAsia" w:ascii="宋体" w:hAnsi="宋体" w:cs="宋体"/>
          <w:color w:val="auto"/>
          <w:highlight w:val="none"/>
        </w:rPr>
        <w:t>龄</w:t>
      </w:r>
      <w:bookmarkStart w:id="231" w:name="_Toc361508754"/>
      <w:bookmarkStart w:id="232" w:name="_Toc144974858"/>
      <w:bookmarkStart w:id="233" w:name="_Toc369531699"/>
      <w:bookmarkStart w:id="234" w:name="_Toc300835211"/>
      <w:bookmarkStart w:id="235" w:name="_Toc152042578"/>
      <w:bookmarkStart w:id="236" w:name="_Toc352691663"/>
      <w:bookmarkStart w:id="237" w:name="_Toc247514248"/>
      <w:bookmarkStart w:id="238" w:name="_Toc15573"/>
      <w:bookmarkStart w:id="239" w:name="_Toc384308377"/>
      <w:bookmarkStart w:id="240" w:name="_Toc152045789"/>
      <w:bookmarkStart w:id="241" w:name="_Toc247527829"/>
      <w:r>
        <w:rPr>
          <w:rFonts w:hint="eastAsia" w:ascii="宋体" w:hAnsi="宋体" w:cs="宋体"/>
          <w:color w:val="auto"/>
          <w:highlight w:val="none"/>
        </w:rPr>
        <w:t>：</w:t>
      </w:r>
      <w:bookmarkEnd w:id="231"/>
      <w:bookmarkEnd w:id="232"/>
      <w:bookmarkEnd w:id="233"/>
      <w:bookmarkEnd w:id="234"/>
      <w:bookmarkEnd w:id="235"/>
      <w:bookmarkEnd w:id="236"/>
      <w:bookmarkEnd w:id="237"/>
      <w:bookmarkEnd w:id="238"/>
      <w:bookmarkEnd w:id="239"/>
      <w:bookmarkEnd w:id="240"/>
      <w:bookmarkEnd w:id="241"/>
      <w:r>
        <w:rPr>
          <w:rFonts w:hint="eastAsia" w:ascii="宋体" w:hAnsi="宋体" w:cs="宋体"/>
          <w:color w:val="auto"/>
          <w:highlight w:val="none"/>
          <w:u w:val="single"/>
        </w:rPr>
        <w:t xml:space="preserve">        </w:t>
      </w:r>
      <w:r>
        <w:rPr>
          <w:rFonts w:hint="eastAsia" w:ascii="宋体" w:hAnsi="宋体" w:cs="宋体"/>
          <w:color w:val="auto"/>
          <w:highlight w:val="none"/>
        </w:rPr>
        <w:t>职务：</w:t>
      </w:r>
      <w:r>
        <w:rPr>
          <w:rFonts w:hint="eastAsia" w:ascii="宋体" w:hAnsi="宋体" w:cs="宋体"/>
          <w:color w:val="auto"/>
          <w:highlight w:val="none"/>
          <w:u w:val="single"/>
        </w:rPr>
        <w:t xml:space="preserve">        </w:t>
      </w:r>
      <w:r>
        <w:rPr>
          <w:rFonts w:hint="eastAsia" w:ascii="宋体" w:hAnsi="宋体" w:cs="宋体"/>
          <w:color w:val="auto"/>
          <w:highlight w:val="none"/>
        </w:rPr>
        <w:t>系</w:t>
      </w:r>
      <w:r>
        <w:rPr>
          <w:rFonts w:hint="eastAsia" w:ascii="宋体" w:hAnsi="宋体" w:cs="宋体"/>
          <w:color w:val="auto"/>
          <w:highlight w:val="none"/>
          <w:u w:val="single"/>
        </w:rPr>
        <w:t xml:space="preserve">                        </w:t>
      </w:r>
      <w:r>
        <w:rPr>
          <w:rFonts w:hint="eastAsia" w:ascii="宋体" w:hAnsi="宋体" w:cs="宋体"/>
          <w:color w:val="auto"/>
          <w:highlight w:val="none"/>
        </w:rPr>
        <w:t>（比选申请人名称）的法定代表人。</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特此证明。</w:t>
      </w:r>
    </w:p>
    <w:p>
      <w:pPr>
        <w:spacing w:line="440" w:lineRule="exact"/>
        <w:ind w:firstLine="420"/>
        <w:rPr>
          <w:rFonts w:ascii="宋体" w:hAnsi="宋体" w:cs="宋体"/>
          <w:color w:val="auto"/>
          <w:highlight w:val="none"/>
        </w:rPr>
      </w:pPr>
    </w:p>
    <w:p>
      <w:pPr>
        <w:spacing w:line="440" w:lineRule="exact"/>
        <w:ind w:firstLine="420"/>
        <w:rPr>
          <w:rFonts w:ascii="宋体" w:hAnsi="宋体" w:cs="宋体"/>
          <w:color w:val="auto"/>
          <w:highlight w:val="none"/>
        </w:rPr>
      </w:pPr>
      <w:r>
        <w:rPr>
          <w:rFonts w:hint="eastAsia" w:ascii="宋体" w:hAnsi="宋体" w:cs="宋体"/>
          <w:color w:val="auto"/>
          <w:highlight w:val="none"/>
        </w:rPr>
        <w:t>附：法定代表人身份证复印件并加盖比选申请人单位章。</w:t>
      </w:r>
    </w:p>
    <w:p>
      <w:pPr>
        <w:spacing w:line="440" w:lineRule="exact"/>
        <w:ind w:firstLine="420"/>
        <w:rPr>
          <w:rFonts w:ascii="宋体" w:hAnsi="宋体" w:cs="宋体"/>
          <w:color w:val="auto"/>
          <w:highlight w:val="none"/>
        </w:rPr>
      </w:pPr>
    </w:p>
    <w:p>
      <w:pPr>
        <w:spacing w:line="440" w:lineRule="exact"/>
        <w:ind w:firstLine="420"/>
        <w:rPr>
          <w:rFonts w:ascii="宋体" w:hAnsi="宋体" w:cs="宋体"/>
          <w:color w:val="auto"/>
          <w:highlight w:val="none"/>
        </w:rPr>
      </w:pPr>
    </w:p>
    <w:p>
      <w:pPr>
        <w:spacing w:line="440" w:lineRule="exact"/>
        <w:ind w:firstLine="420"/>
        <w:rPr>
          <w:rFonts w:ascii="宋体" w:hAnsi="宋体" w:cs="宋体"/>
          <w:color w:val="auto"/>
          <w:highlight w:val="none"/>
        </w:rPr>
      </w:pPr>
    </w:p>
    <w:p>
      <w:pPr>
        <w:adjustRightInd w:val="0"/>
        <w:snapToGrid w:val="0"/>
        <w:jc w:val="right"/>
        <w:rPr>
          <w:rFonts w:ascii="宋体" w:hAnsi="宋体" w:cs="宋体"/>
          <w:color w:val="auto"/>
          <w:highlight w:val="none"/>
        </w:rPr>
      </w:pPr>
      <w:r>
        <w:rPr>
          <w:rFonts w:hint="eastAsia" w:ascii="宋体" w:hAnsi="宋体" w:cs="宋体"/>
          <w:color w:val="auto"/>
          <w:highlight w:val="none"/>
        </w:rPr>
        <w:t xml:space="preserve">  比选申请人：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highlight w:val="none"/>
        </w:rPr>
        <w:t>（单位公章）</w:t>
      </w:r>
    </w:p>
    <w:p>
      <w:pPr>
        <w:adjustRightInd w:val="0"/>
        <w:snapToGrid w:val="0"/>
        <w:jc w:val="right"/>
        <w:rPr>
          <w:rFonts w:ascii="宋体" w:hAnsi="宋体" w:cs="宋体"/>
          <w:color w:val="auto"/>
          <w:highlight w:val="none"/>
        </w:rPr>
      </w:pPr>
    </w:p>
    <w:p>
      <w:pPr>
        <w:adjustRightInd w:val="0"/>
        <w:snapToGrid w:val="0"/>
        <w:jc w:val="right"/>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highlight w:val="none"/>
        </w:rPr>
        <w:t>（签字）</w:t>
      </w:r>
    </w:p>
    <w:p>
      <w:pPr>
        <w:adjustRightInd w:val="0"/>
        <w:snapToGrid w:val="0"/>
        <w:jc w:val="right"/>
        <w:rPr>
          <w:rFonts w:ascii="宋体" w:hAnsi="宋体" w:cs="宋体"/>
          <w:color w:val="auto"/>
          <w:highlight w:val="none"/>
        </w:rPr>
      </w:pPr>
    </w:p>
    <w:p>
      <w:pPr>
        <w:adjustRightInd w:val="0"/>
        <w:snapToGrid w:val="0"/>
        <w:jc w:val="righ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40" w:lineRule="exact"/>
        <w:ind w:firstLine="400"/>
        <w:rPr>
          <w:rFonts w:ascii="宋体" w:hAnsi="宋体" w:cs="宋体"/>
          <w:color w:val="auto"/>
          <w:sz w:val="20"/>
          <w:highlight w:val="none"/>
        </w:rPr>
      </w:pPr>
    </w:p>
    <w:p>
      <w:pPr>
        <w:spacing w:line="440" w:lineRule="exact"/>
        <w:ind w:firstLine="400"/>
        <w:rPr>
          <w:rFonts w:ascii="宋体" w:hAnsi="宋体" w:cs="宋体"/>
          <w:color w:val="auto"/>
          <w:sz w:val="20"/>
          <w:highlight w:val="none"/>
        </w:rPr>
      </w:pPr>
    </w:p>
    <w:p>
      <w:pPr>
        <w:spacing w:line="440" w:lineRule="exact"/>
        <w:ind w:firstLine="400"/>
        <w:rPr>
          <w:rFonts w:ascii="宋体" w:hAnsi="宋体" w:cs="宋体"/>
          <w:color w:val="auto"/>
          <w:sz w:val="20"/>
          <w:highlight w:val="none"/>
        </w:rPr>
      </w:pPr>
    </w:p>
    <w:p>
      <w:pPr>
        <w:spacing w:line="440" w:lineRule="exact"/>
        <w:ind w:firstLine="400"/>
        <w:rPr>
          <w:rFonts w:ascii="宋体" w:hAnsi="宋体" w:cs="宋体"/>
          <w:color w:val="auto"/>
          <w:sz w:val="20"/>
          <w:highlight w:val="none"/>
        </w:rPr>
      </w:pPr>
    </w:p>
    <w:p>
      <w:pPr>
        <w:ind w:firstLine="420"/>
        <w:rPr>
          <w:rFonts w:ascii="宋体" w:hAnsi="宋体" w:cs="宋体"/>
          <w:color w:val="auto"/>
          <w:szCs w:val="21"/>
          <w:highlight w:val="none"/>
        </w:rPr>
      </w:pPr>
    </w:p>
    <w:p>
      <w:pPr>
        <w:ind w:firstLine="420"/>
        <w:rPr>
          <w:rFonts w:ascii="宋体" w:hAnsi="宋体" w:cs="宋体"/>
          <w:color w:val="auto"/>
          <w:szCs w:val="21"/>
          <w:highlight w:val="none"/>
        </w:rPr>
      </w:pPr>
    </w:p>
    <w:p>
      <w:pPr>
        <w:ind w:firstLine="420"/>
        <w:rPr>
          <w:rFonts w:ascii="宋体" w:hAnsi="宋体" w:cs="宋体"/>
          <w:color w:val="auto"/>
          <w:szCs w:val="21"/>
          <w:highlight w:val="none"/>
        </w:rPr>
      </w:pPr>
    </w:p>
    <w:p>
      <w:pPr>
        <w:ind w:firstLine="420"/>
        <w:rPr>
          <w:rFonts w:ascii="宋体" w:hAnsi="宋体" w:cs="宋体"/>
          <w:color w:val="auto"/>
          <w:szCs w:val="21"/>
          <w:highlight w:val="none"/>
        </w:rPr>
      </w:pPr>
    </w:p>
    <w:p>
      <w:pPr>
        <w:ind w:firstLine="420"/>
        <w:rPr>
          <w:rFonts w:ascii="宋体" w:hAnsi="宋体" w:cs="宋体"/>
          <w:color w:val="auto"/>
          <w:szCs w:val="21"/>
          <w:highlight w:val="none"/>
        </w:rPr>
      </w:pPr>
      <w:r>
        <w:rPr>
          <w:rFonts w:hint="eastAsia" w:ascii="宋体" w:hAnsi="宋体" w:cs="宋体"/>
          <w:color w:val="auto"/>
          <w:szCs w:val="21"/>
          <w:highlight w:val="none"/>
        </w:rPr>
        <w:t>1.法定代表人必须在法定代表身份证明上亲笔签名，不得使用印章、签名章或其他电子制版签名代替；</w:t>
      </w:r>
    </w:p>
    <w:p>
      <w:pPr>
        <w:spacing w:line="440" w:lineRule="exact"/>
        <w:ind w:firstLine="400"/>
        <w:rPr>
          <w:rFonts w:ascii="宋体" w:hAnsi="宋体" w:cs="宋体"/>
          <w:color w:val="auto"/>
          <w:sz w:val="20"/>
          <w:highlight w:val="none"/>
        </w:rPr>
      </w:pPr>
      <w:r>
        <w:rPr>
          <w:rFonts w:hint="eastAsia" w:ascii="宋体" w:hAnsi="宋体" w:cs="宋体"/>
          <w:color w:val="auto"/>
          <w:highlight w:val="none"/>
        </w:rPr>
        <w:t>2.如果由比选申请人的法定代表人签署比选申请文件，则不需要提交授权委托书。</w:t>
      </w:r>
      <w:r>
        <w:rPr>
          <w:rFonts w:hint="eastAsia" w:ascii="宋体" w:hAnsi="宋体" w:cs="宋体"/>
          <w:color w:val="auto"/>
          <w:sz w:val="20"/>
          <w:highlight w:val="none"/>
        </w:rPr>
        <w:br w:type="page"/>
      </w:r>
    </w:p>
    <w:p>
      <w:pPr>
        <w:ind w:firstLine="560"/>
        <w:jc w:val="center"/>
        <w:rPr>
          <w:rFonts w:ascii="宋体" w:hAnsi="宋体" w:cs="宋体"/>
          <w:color w:val="auto"/>
          <w:sz w:val="28"/>
          <w:szCs w:val="28"/>
          <w:highlight w:val="none"/>
        </w:rPr>
      </w:pPr>
      <w:r>
        <w:rPr>
          <w:rFonts w:hint="eastAsia" w:ascii="宋体" w:hAnsi="宋体" w:cs="宋体"/>
          <w:color w:val="auto"/>
          <w:sz w:val="28"/>
          <w:szCs w:val="28"/>
          <w:highlight w:val="none"/>
        </w:rPr>
        <w:t>二、授权委托书</w:t>
      </w:r>
    </w:p>
    <w:p>
      <w:pPr>
        <w:spacing w:line="440" w:lineRule="exact"/>
        <w:ind w:firstLine="420"/>
        <w:rPr>
          <w:rFonts w:ascii="宋体" w:hAnsi="宋体" w:cs="宋体"/>
          <w:color w:val="auto"/>
          <w:highlight w:val="none"/>
        </w:rPr>
      </w:pPr>
    </w:p>
    <w:p>
      <w:pPr>
        <w:topLinePunct/>
        <w:spacing w:line="440" w:lineRule="exact"/>
        <w:ind w:firstLine="420" w:firstLineChars="200"/>
        <w:rPr>
          <w:rFonts w:ascii="宋体" w:hAnsi="宋体" w:cs="宋体"/>
          <w:color w:val="auto"/>
          <w:highlight w:val="none"/>
        </w:rPr>
      </w:pPr>
      <w:r>
        <w:rPr>
          <w:rFonts w:hint="eastAsia" w:ascii="宋体" w:hAnsi="宋体" w:cs="宋体"/>
          <w:color w:val="auto"/>
          <w:highlight w:val="none"/>
        </w:rPr>
        <w:t>本人</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（比选申请人名称）的法定代表人，现委托</w:t>
      </w:r>
      <w:r>
        <w:rPr>
          <w:rFonts w:hint="eastAsia" w:ascii="宋体" w:hAnsi="宋体" w:cs="宋体"/>
          <w:color w:val="auto"/>
          <w:highlight w:val="none"/>
          <w:u w:val="single"/>
        </w:rPr>
        <w:t xml:space="preserve">            </w:t>
      </w:r>
      <w:r>
        <w:rPr>
          <w:rFonts w:hint="eastAsia" w:ascii="宋体" w:hAnsi="宋体" w:cs="宋体"/>
          <w:color w:val="auto"/>
          <w:highlight w:val="none"/>
        </w:rPr>
        <w:t>（姓名）为我方代理人。代理人根据授权，以我方名义签署、澄清确认、递交、撤回、修改设备采购比选项目比选申请文件、签订合同和处理有关事宜，其法律后果由我方承担。</w:t>
      </w:r>
    </w:p>
    <w:p>
      <w:pPr>
        <w:spacing w:line="440" w:lineRule="exact"/>
        <w:ind w:firstLine="420"/>
        <w:rPr>
          <w:rFonts w:ascii="宋体" w:hAnsi="宋体" w:cs="宋体"/>
          <w:color w:val="auto"/>
          <w:highlight w:val="none"/>
        </w:rPr>
      </w:pPr>
      <w:r>
        <w:rPr>
          <w:rFonts w:hint="eastAsia" w:ascii="宋体" w:hAnsi="宋体" w:cs="宋体"/>
          <w:color w:val="auto"/>
          <w:highlight w:val="none"/>
        </w:rPr>
        <w:t>委托期限：</w:t>
      </w:r>
      <w:r>
        <w:rPr>
          <w:rFonts w:hint="eastAsia" w:ascii="宋体" w:hAnsi="宋体" w:cs="宋体"/>
          <w:color w:val="auto"/>
          <w:highlight w:val="none"/>
          <w:u w:val="single"/>
        </w:rPr>
        <w:t xml:space="preserve"> （比选申请有效期内）      </w:t>
      </w:r>
      <w:r>
        <w:rPr>
          <w:rFonts w:hint="eastAsia" w:ascii="宋体" w:hAnsi="宋体" w:cs="宋体"/>
          <w:color w:val="auto"/>
          <w:highlight w:val="none"/>
        </w:rPr>
        <w:t>。</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代理人无转委托权。</w:t>
      </w:r>
    </w:p>
    <w:p>
      <w:pPr>
        <w:spacing w:line="440" w:lineRule="exact"/>
        <w:ind w:firstLine="420" w:firstLineChars="200"/>
        <w:rPr>
          <w:rFonts w:ascii="宋体" w:hAnsi="宋体" w:cs="宋体"/>
          <w:color w:val="auto"/>
          <w:highlight w:val="none"/>
        </w:rPr>
      </w:pPr>
    </w:p>
    <w:p>
      <w:pPr>
        <w:spacing w:line="440" w:lineRule="exact"/>
        <w:ind w:firstLine="420"/>
        <w:rPr>
          <w:rFonts w:ascii="宋体" w:hAnsi="宋体" w:cs="宋体"/>
          <w:color w:val="auto"/>
          <w:highlight w:val="none"/>
        </w:rPr>
      </w:pPr>
      <w:r>
        <w:rPr>
          <w:rFonts w:hint="eastAsia" w:ascii="宋体" w:hAnsi="宋体" w:cs="宋体"/>
          <w:color w:val="auto"/>
          <w:highlight w:val="none"/>
        </w:rPr>
        <w:t>附：法定代表人身份证复印件及委托代理人身份证复印件并加盖比选申请人单位章。</w:t>
      </w:r>
    </w:p>
    <w:p>
      <w:pPr>
        <w:spacing w:line="440" w:lineRule="exact"/>
        <w:ind w:firstLine="420"/>
        <w:rPr>
          <w:rFonts w:ascii="宋体" w:hAnsi="宋体" w:cs="宋体"/>
          <w:color w:val="auto"/>
          <w:highlight w:val="none"/>
        </w:rPr>
      </w:pPr>
    </w:p>
    <w:p>
      <w:pPr>
        <w:spacing w:line="440" w:lineRule="exact"/>
        <w:ind w:firstLine="420"/>
        <w:rPr>
          <w:rFonts w:ascii="宋体" w:hAnsi="宋体" w:cs="宋体"/>
          <w:color w:val="auto"/>
          <w:highlight w:val="none"/>
        </w:rPr>
      </w:pPr>
    </w:p>
    <w:p>
      <w:pPr>
        <w:spacing w:line="440" w:lineRule="exact"/>
        <w:ind w:firstLine="420"/>
        <w:rPr>
          <w:rFonts w:ascii="宋体" w:hAnsi="宋体" w:cs="宋体"/>
          <w:color w:val="auto"/>
          <w:highlight w:val="none"/>
        </w:rPr>
      </w:pPr>
    </w:p>
    <w:p>
      <w:pPr>
        <w:adjustRightInd w:val="0"/>
        <w:snapToGrid w:val="0"/>
        <w:jc w:val="right"/>
        <w:rPr>
          <w:rFonts w:ascii="宋体" w:hAnsi="宋体" w:cs="宋体"/>
          <w:color w:val="auto"/>
          <w:highlight w:val="none"/>
        </w:rPr>
      </w:pPr>
      <w:r>
        <w:rPr>
          <w:rFonts w:hint="eastAsia" w:ascii="宋体" w:hAnsi="宋体" w:cs="宋体"/>
          <w:color w:val="auto"/>
          <w:highlight w:val="none"/>
        </w:rPr>
        <w:t>比选申请人：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highlight w:val="none"/>
        </w:rPr>
        <w:t>（单位公章）</w:t>
      </w:r>
    </w:p>
    <w:p>
      <w:pPr>
        <w:adjustRightInd w:val="0"/>
        <w:snapToGrid w:val="0"/>
        <w:jc w:val="right"/>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highlight w:val="none"/>
        </w:rPr>
        <w:t>（签字）</w:t>
      </w:r>
    </w:p>
    <w:p>
      <w:pPr>
        <w:adjustRightInd w:val="0"/>
        <w:snapToGrid w:val="0"/>
        <w:jc w:val="right"/>
        <w:rPr>
          <w:rFonts w:ascii="宋体" w:hAnsi="宋体" w:cs="宋体"/>
          <w:color w:val="auto"/>
          <w:highlight w:val="none"/>
        </w:rPr>
      </w:pPr>
      <w:r>
        <w:rPr>
          <w:rFonts w:hint="eastAsia" w:ascii="宋体" w:hAnsi="宋体" w:cs="宋体"/>
          <w:color w:val="auto"/>
          <w:highlight w:val="none"/>
        </w:rPr>
        <w:t>身份证号码：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pPr>
        <w:adjustRightInd w:val="0"/>
        <w:snapToGrid w:val="0"/>
        <w:jc w:val="right"/>
        <w:rPr>
          <w:rFonts w:ascii="宋体" w:hAnsi="宋体" w:cs="宋体"/>
          <w:color w:val="auto"/>
          <w:highlight w:val="none"/>
        </w:rPr>
      </w:pPr>
      <w:r>
        <w:rPr>
          <w:rFonts w:hint="eastAsia" w:ascii="宋体" w:hAnsi="宋体" w:cs="宋体"/>
          <w:color w:val="auto"/>
          <w:highlight w:val="none"/>
        </w:rPr>
        <w:t>委托代理人：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highlight w:val="none"/>
        </w:rPr>
        <w:t>（签字）</w:t>
      </w:r>
    </w:p>
    <w:p>
      <w:pPr>
        <w:adjustRightInd w:val="0"/>
        <w:snapToGrid w:val="0"/>
        <w:jc w:val="right"/>
        <w:rPr>
          <w:rFonts w:ascii="宋体" w:hAnsi="宋体" w:cs="宋体"/>
          <w:color w:val="auto"/>
          <w:highlight w:val="none"/>
        </w:rPr>
      </w:pPr>
      <w:r>
        <w:rPr>
          <w:rFonts w:hint="eastAsia" w:ascii="宋体" w:hAnsi="宋体" w:cs="宋体"/>
          <w:color w:val="auto"/>
          <w:highlight w:val="none"/>
        </w:rPr>
        <w:t>身份证号码：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pPr>
        <w:adjustRightInd w:val="0"/>
        <w:snapToGrid w:val="0"/>
        <w:jc w:val="right"/>
        <w:rPr>
          <w:rFonts w:ascii="宋体" w:hAnsi="宋体" w:cs="宋体"/>
          <w:color w:val="auto"/>
          <w:highlight w:val="none"/>
        </w:rPr>
      </w:pPr>
    </w:p>
    <w:p>
      <w:pPr>
        <w:adjustRightInd w:val="0"/>
        <w:snapToGrid w:val="0"/>
        <w:jc w:val="righ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jc w:val="both"/>
        <w:rPr>
          <w:rFonts w:ascii="宋体" w:hAnsi="宋体" w:cs="宋体"/>
          <w:color w:val="auto"/>
          <w:highlight w:val="none"/>
        </w:rPr>
      </w:pPr>
    </w:p>
    <w:p>
      <w:pPr>
        <w:jc w:val="both"/>
        <w:rPr>
          <w:rFonts w:ascii="宋体" w:hAnsi="宋体" w:cs="宋体"/>
          <w:color w:val="auto"/>
          <w:highlight w:val="none"/>
        </w:rPr>
      </w:pPr>
    </w:p>
    <w:p>
      <w:pPr>
        <w:jc w:val="both"/>
        <w:rPr>
          <w:rFonts w:ascii="宋体" w:hAnsi="宋体" w:cs="宋体"/>
          <w:color w:val="auto"/>
          <w:highlight w:val="none"/>
        </w:rPr>
      </w:pPr>
    </w:p>
    <w:p>
      <w:pPr>
        <w:jc w:val="both"/>
        <w:rPr>
          <w:rFonts w:ascii="宋体" w:hAnsi="宋体" w:cs="宋体"/>
          <w:color w:val="auto"/>
          <w:highlight w:val="none"/>
        </w:rPr>
      </w:pPr>
    </w:p>
    <w:p>
      <w:pPr>
        <w:jc w:val="both"/>
        <w:rPr>
          <w:rFonts w:ascii="宋体" w:hAnsi="宋体" w:cs="宋体"/>
          <w:color w:val="auto"/>
          <w:highlight w:val="none"/>
        </w:rPr>
      </w:pPr>
    </w:p>
    <w:p>
      <w:pPr>
        <w:ind w:firstLine="420"/>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1.法定代表人和委托代理人必须在授权委托书上亲笔签名，不得使用印章、签名章或其他电子制版签名代替；</w:t>
      </w:r>
    </w:p>
    <w:p>
      <w:pPr>
        <w:ind w:firstLine="480"/>
        <w:rPr>
          <w:rFonts w:ascii="宋体" w:hAnsi="宋体" w:cs="宋体"/>
          <w:color w:val="auto"/>
          <w:highlight w:val="none"/>
        </w:rPr>
      </w:pPr>
      <w:r>
        <w:rPr>
          <w:rFonts w:hint="eastAsia" w:ascii="宋体" w:hAnsi="宋体" w:cs="宋体"/>
          <w:color w:val="auto"/>
          <w:highlight w:val="none"/>
        </w:rPr>
        <w:t>2.如果由比选申请人的</w:t>
      </w:r>
      <w:r>
        <w:rPr>
          <w:rFonts w:hint="eastAsia" w:ascii="宋体" w:hAnsi="宋体" w:cs="宋体"/>
          <w:color w:val="auto"/>
          <w:highlight w:val="none"/>
          <w:lang w:val="en-US" w:eastAsia="zh-CN"/>
        </w:rPr>
        <w:t>委托</w:t>
      </w:r>
      <w:r>
        <w:rPr>
          <w:rFonts w:hint="eastAsia" w:ascii="宋体" w:hAnsi="宋体" w:cs="宋体"/>
          <w:color w:val="auto"/>
          <w:highlight w:val="none"/>
        </w:rPr>
        <w:t>代表人签署比选申请文件，则不需要提交</w:t>
      </w:r>
      <w:r>
        <w:rPr>
          <w:rFonts w:hint="eastAsia" w:ascii="宋体" w:hAnsi="宋体" w:cs="宋体"/>
          <w:color w:val="auto"/>
          <w:highlight w:val="none"/>
          <w:lang w:val="en-US" w:eastAsia="zh-CN"/>
        </w:rPr>
        <w:t>法定代表人身份证明</w:t>
      </w:r>
      <w:r>
        <w:rPr>
          <w:rFonts w:hint="eastAsia" w:ascii="宋体" w:hAnsi="宋体" w:cs="宋体"/>
          <w:color w:val="auto"/>
          <w:highlight w:val="none"/>
        </w:rPr>
        <w:t>。</w:t>
      </w:r>
    </w:p>
    <w:p>
      <w:pPr>
        <w:pStyle w:val="5"/>
        <w:rPr>
          <w:rFonts w:ascii="宋体" w:hAnsi="宋体" w:eastAsia="宋体" w:cs="宋体"/>
          <w:color w:val="auto"/>
          <w:sz w:val="32"/>
          <w:szCs w:val="32"/>
          <w:highlight w:val="none"/>
        </w:rPr>
      </w:pPr>
      <w:r>
        <w:rPr>
          <w:rFonts w:hint="eastAsia" w:ascii="宋体" w:hAnsi="宋体" w:eastAsia="宋体" w:cs="宋体"/>
          <w:color w:val="auto"/>
          <w:sz w:val="20"/>
          <w:highlight w:val="none"/>
        </w:rPr>
        <w:br w:type="page"/>
      </w:r>
      <w:r>
        <w:rPr>
          <w:rFonts w:hint="eastAsia" w:ascii="宋体" w:hAnsi="宋体" w:eastAsia="宋体" w:cs="宋体"/>
          <w:color w:val="auto"/>
          <w:sz w:val="32"/>
          <w:szCs w:val="32"/>
          <w:highlight w:val="none"/>
        </w:rPr>
        <w:t>三、比选申请保证金</w:t>
      </w:r>
    </w:p>
    <w:p>
      <w:pPr>
        <w:pStyle w:val="19"/>
        <w:spacing w:before="86"/>
        <w:ind w:firstLine="504" w:firstLineChars="240"/>
        <w:rPr>
          <w:color w:val="auto"/>
          <w:kern w:val="2"/>
          <w:sz w:val="20"/>
          <w:highlight w:val="none"/>
        </w:rPr>
      </w:pPr>
      <w:r>
        <w:rPr>
          <w:rFonts w:hint="eastAsia"/>
          <w:color w:val="auto"/>
          <w:kern w:val="2"/>
          <w:highlight w:val="none"/>
        </w:rPr>
        <w:t>比选申请保证金</w:t>
      </w:r>
      <w:r>
        <w:rPr>
          <w:color w:val="auto"/>
          <w:kern w:val="2"/>
          <w:highlight w:val="none"/>
        </w:rPr>
        <w:t>若采用现金</w:t>
      </w:r>
      <w:r>
        <w:rPr>
          <w:rFonts w:hint="eastAsia"/>
          <w:color w:val="auto"/>
          <w:kern w:val="2"/>
          <w:highlight w:val="none"/>
        </w:rPr>
        <w:t>转账</w:t>
      </w:r>
      <w:r>
        <w:rPr>
          <w:color w:val="auto"/>
          <w:kern w:val="2"/>
          <w:highlight w:val="none"/>
        </w:rPr>
        <w:t>，</w:t>
      </w:r>
      <w:r>
        <w:rPr>
          <w:rFonts w:hint="eastAsia"/>
          <w:color w:val="auto"/>
          <w:kern w:val="2"/>
          <w:highlight w:val="none"/>
        </w:rPr>
        <w:t>比选申请</w:t>
      </w:r>
      <w:r>
        <w:rPr>
          <w:color w:val="auto"/>
          <w:kern w:val="2"/>
          <w:highlight w:val="none"/>
        </w:rPr>
        <w:t>人应在此提供</w:t>
      </w:r>
      <w:r>
        <w:rPr>
          <w:rFonts w:hint="eastAsia"/>
          <w:color w:val="auto"/>
          <w:kern w:val="2"/>
          <w:highlight w:val="none"/>
        </w:rPr>
        <w:t>加盖比选申请人单位章的转(</w:t>
      </w:r>
      <w:r>
        <w:rPr>
          <w:color w:val="auto"/>
          <w:kern w:val="2"/>
          <w:highlight w:val="none"/>
        </w:rPr>
        <w:t>汇</w:t>
      </w:r>
      <w:r>
        <w:rPr>
          <w:rFonts w:hint="eastAsia"/>
          <w:color w:val="auto"/>
          <w:kern w:val="2"/>
          <w:highlight w:val="none"/>
        </w:rPr>
        <w:t>)</w:t>
      </w:r>
      <w:r>
        <w:rPr>
          <w:color w:val="auto"/>
          <w:kern w:val="2"/>
          <w:highlight w:val="none"/>
        </w:rPr>
        <w:t>款凭证复印件</w:t>
      </w:r>
      <w:r>
        <w:rPr>
          <w:color w:val="auto"/>
          <w:kern w:val="2"/>
          <w:sz w:val="20"/>
          <w:highlight w:val="none"/>
        </w:rPr>
        <w:t>。</w:t>
      </w:r>
    </w:p>
    <w:p>
      <w:pPr>
        <w:rPr>
          <w:color w:val="auto"/>
          <w:highlight w:val="none"/>
        </w:rPr>
      </w:pPr>
    </w:p>
    <w:p>
      <w:pPr>
        <w:spacing w:line="240" w:lineRule="auto"/>
        <w:rPr>
          <w:rFonts w:ascii="宋体" w:hAnsi="宋体" w:cs="宋体"/>
          <w:color w:val="auto"/>
          <w:highlight w:val="none"/>
        </w:rPr>
      </w:pPr>
      <w:bookmarkStart w:id="242" w:name="_Toc361508760"/>
      <w:r>
        <w:rPr>
          <w:rFonts w:hint="eastAsia" w:ascii="宋体" w:hAnsi="宋体" w:cs="宋体"/>
          <w:color w:val="auto"/>
          <w:highlight w:val="none"/>
        </w:rPr>
        <w:br w:type="page"/>
      </w:r>
    </w:p>
    <w:bookmarkEnd w:id="242"/>
    <w:p>
      <w:pPr>
        <w:pStyle w:val="5"/>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四、分项报价表</w:t>
      </w:r>
    </w:p>
    <w:p>
      <w:pPr>
        <w:rPr>
          <w:rFonts w:ascii="宋体" w:hAnsi="宋体" w:cs="宋体"/>
          <w:b/>
          <w:color w:val="auto"/>
          <w:szCs w:val="21"/>
          <w:highlight w:val="none"/>
        </w:rPr>
      </w:pPr>
      <w:r>
        <w:rPr>
          <w:rFonts w:hint="eastAsia" w:ascii="宋体" w:hAnsi="宋体" w:cs="宋体"/>
          <w:b/>
          <w:color w:val="auto"/>
          <w:szCs w:val="21"/>
          <w:highlight w:val="none"/>
        </w:rPr>
        <w:t>1. 分项报价表说明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1.1</w:t>
      </w:r>
      <w:r>
        <w:rPr>
          <w:rFonts w:hint="eastAsia" w:ascii="宋体" w:hAnsi="宋体" w:cs="宋体"/>
          <w:color w:val="auto"/>
          <w:szCs w:val="21"/>
          <w:highlight w:val="none"/>
        </w:rPr>
        <w:t>报价表</w:t>
      </w:r>
      <w:r>
        <w:rPr>
          <w:rFonts w:hint="eastAsia" w:ascii="宋体" w:hAnsi="宋体" w:cs="宋体"/>
          <w:color w:val="auto"/>
          <w:highlight w:val="none"/>
        </w:rPr>
        <w:t>中的每一子目须填入单价或价格，且只允许有一个报价。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1.2除非合同另有规定，</w:t>
      </w:r>
      <w:r>
        <w:rPr>
          <w:rFonts w:hint="eastAsia" w:ascii="宋体" w:hAnsi="宋体" w:cs="宋体"/>
          <w:color w:val="auto"/>
          <w:szCs w:val="21"/>
          <w:highlight w:val="none"/>
        </w:rPr>
        <w:t>报价表</w:t>
      </w:r>
      <w:r>
        <w:rPr>
          <w:rFonts w:hint="eastAsia" w:ascii="宋体" w:hAnsi="宋体" w:cs="宋体"/>
          <w:color w:val="auto"/>
          <w:highlight w:val="none"/>
        </w:rPr>
        <w:t>中有标价的单价和总额价均已包括了为实施和完成合同工程所需的设备供货、机械、质检（自检）、运输、到货、</w:t>
      </w:r>
      <w:r>
        <w:rPr>
          <w:rFonts w:hint="eastAsia" w:ascii="宋体" w:hAnsi="宋体" w:cs="宋体"/>
          <w:color w:val="auto"/>
          <w:szCs w:val="24"/>
          <w:highlight w:val="none"/>
        </w:rPr>
        <w:t>安装、软件安装、配置、测试、调试、配合第三方应用软件安装</w:t>
      </w:r>
      <w:r>
        <w:rPr>
          <w:rFonts w:hint="eastAsia" w:ascii="宋体" w:hAnsi="宋体" w:cs="宋体"/>
          <w:color w:val="auto"/>
          <w:highlight w:val="none"/>
        </w:rPr>
        <w:t>、缺陷修复、保险、税费、利润、调试等费用，以及合同明示或暗示的所有责任、义务和一般风险。</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1.3</w:t>
      </w:r>
      <w:r>
        <w:rPr>
          <w:rFonts w:hint="eastAsia" w:ascii="宋体" w:hAnsi="宋体" w:cs="宋体"/>
          <w:color w:val="auto"/>
          <w:szCs w:val="21"/>
          <w:highlight w:val="none"/>
        </w:rPr>
        <w:t>报价表</w:t>
      </w:r>
      <w:r>
        <w:rPr>
          <w:rFonts w:hint="eastAsia" w:ascii="宋体" w:hAnsi="宋体" w:cs="宋体"/>
          <w:color w:val="auto"/>
          <w:highlight w:val="none"/>
        </w:rPr>
        <w:t>中比选申请人没有填入单价或价格的子目，其费用视为已分摊在</w:t>
      </w:r>
      <w:r>
        <w:rPr>
          <w:rFonts w:hint="eastAsia" w:ascii="宋体" w:hAnsi="宋体" w:cs="宋体"/>
          <w:color w:val="auto"/>
          <w:szCs w:val="21"/>
          <w:highlight w:val="none"/>
        </w:rPr>
        <w:t>报价表</w:t>
      </w:r>
      <w:r>
        <w:rPr>
          <w:rFonts w:hint="eastAsia" w:ascii="宋体" w:hAnsi="宋体" w:cs="宋体"/>
          <w:color w:val="auto"/>
          <w:highlight w:val="none"/>
        </w:rPr>
        <w:t>中其他相关子目的单价或价格之中。</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1.4符合合同条款规定的全部费用应认为已被计入有标价的报价表所列各子目之中，未列子目不予计量的工作，其费用应视为已分摊在本合同工程的有关子目的单价或总额价之中。</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1.5供货方用于本合同装备的</w:t>
      </w:r>
      <w:r>
        <w:rPr>
          <w:rFonts w:hint="eastAsia" w:ascii="宋体" w:hAnsi="宋体" w:cs="宋体"/>
          <w:color w:val="auto"/>
          <w:szCs w:val="24"/>
          <w:highlight w:val="none"/>
        </w:rPr>
        <w:t>设计、制造、检验、运输、交货、安装调试</w:t>
      </w:r>
      <w:r>
        <w:rPr>
          <w:rFonts w:hint="eastAsia" w:ascii="宋体" w:hAnsi="宋体" w:cs="宋体"/>
          <w:color w:val="auto"/>
          <w:highlight w:val="none"/>
        </w:rPr>
        <w:t>等支付的费用，已包括在报价表的单价与总额价之中。</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1.6报价表中各项金额均以人民币（元）结算。</w:t>
      </w:r>
    </w:p>
    <w:p>
      <w:pPr>
        <w:keepNext w:val="0"/>
        <w:keepLines w:val="0"/>
        <w:pageBreakBefore w:val="0"/>
        <w:widowControl/>
        <w:tabs>
          <w:tab w:val="left" w:pos="1185"/>
        </w:tabs>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1.7供货方供货设备所需缴纳的一切税费均由供货方承担，包括在所报的单价或总额价内，不在报价中单列。</w:t>
      </w:r>
    </w:p>
    <w:p>
      <w:pPr>
        <w:keepNext w:val="0"/>
        <w:keepLines w:val="0"/>
        <w:pageBreakBefore w:val="0"/>
        <w:widowControl/>
        <w:tabs>
          <w:tab w:val="left" w:pos="1185"/>
        </w:tabs>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1.8供货方应该综合考虑供货期，报价人应合理安排生产要素投入，并考虑计划的变更导致赶工等因素导致施工费用增加，不单独增加报价。</w:t>
      </w:r>
    </w:p>
    <w:p>
      <w:pPr>
        <w:keepNext w:val="0"/>
        <w:keepLines w:val="0"/>
        <w:pageBreakBefore w:val="0"/>
        <w:widowControl/>
        <w:tabs>
          <w:tab w:val="left" w:pos="1185"/>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1.9 本项目不得出现不平衡报价，不得违反国家有关规定，比选人有权拒绝经评审委员会确认具有不平衡报价的比选申请单位报价。</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cs="宋体"/>
          <w:szCs w:val="21"/>
          <w:highlight w:val="none"/>
        </w:rPr>
      </w:pPr>
      <w:r>
        <w:rPr>
          <w:rFonts w:hint="eastAsia" w:ascii="宋体" w:hAnsi="宋体" w:cs="宋体"/>
          <w:highlight w:val="none"/>
          <w:lang w:val="en-US" w:eastAsia="zh-CN"/>
        </w:rPr>
        <w:t>2.0</w:t>
      </w:r>
      <w:r>
        <w:rPr>
          <w:rFonts w:hint="eastAsia" w:ascii="宋体" w:hAnsi="宋体" w:cs="宋体"/>
          <w:highlight w:val="none"/>
        </w:rPr>
        <w:t>分项报价表中的报价须包括提供整体解决方案的报价，包括屏体、信号控制器、视频拼接器、控制软件、配电、屏体钢结构、外饰及配套安装材料。</w:t>
      </w:r>
      <w:r>
        <w:rPr>
          <w:rFonts w:hint="eastAsia" w:ascii="宋体" w:hAnsi="宋体" w:cs="宋体"/>
          <w:highlight w:val="none"/>
          <w:lang w:val="en-US" w:eastAsia="zh-CN"/>
        </w:rPr>
        <w:t>比选申请</w:t>
      </w:r>
      <w:r>
        <w:rPr>
          <w:rFonts w:hint="eastAsia" w:ascii="宋体" w:hAnsi="宋体" w:cs="宋体"/>
          <w:highlight w:val="none"/>
        </w:rPr>
        <w:t>人中</w:t>
      </w:r>
      <w:r>
        <w:rPr>
          <w:rFonts w:hint="eastAsia" w:ascii="宋体" w:hAnsi="宋体" w:cs="宋体"/>
          <w:highlight w:val="none"/>
          <w:lang w:val="en-US" w:eastAsia="zh-CN"/>
        </w:rPr>
        <w:t>选</w:t>
      </w:r>
      <w:r>
        <w:rPr>
          <w:rFonts w:hint="eastAsia" w:ascii="宋体" w:hAnsi="宋体" w:cs="宋体"/>
          <w:highlight w:val="none"/>
        </w:rPr>
        <w:t>后不得以缺少任何部件、配件为理由</w:t>
      </w:r>
      <w:r>
        <w:rPr>
          <w:rFonts w:hint="eastAsia" w:ascii="宋体" w:hAnsi="宋体" w:cs="宋体"/>
          <w:szCs w:val="21"/>
          <w:highlight w:val="none"/>
        </w:rPr>
        <w:t>要求增加费用。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1</w:t>
      </w:r>
      <w:r>
        <w:rPr>
          <w:rFonts w:hint="eastAsia" w:ascii="宋体" w:hAnsi="宋体" w:cs="宋体"/>
          <w:szCs w:val="21"/>
          <w:highlight w:val="none"/>
        </w:rPr>
        <w:t>分项报价表说明须附在分项报价表中且不得有任何删减。</w:t>
      </w:r>
    </w:p>
    <w:p>
      <w:pPr>
        <w:pStyle w:val="19"/>
        <w:rPr>
          <w:highlight w:val="none"/>
        </w:rPr>
      </w:pPr>
    </w:p>
    <w:p>
      <w:pPr>
        <w:tabs>
          <w:tab w:val="left" w:pos="1185"/>
        </w:tabs>
        <w:ind w:firstLine="200"/>
        <w:rPr>
          <w:rFonts w:ascii="宋体" w:hAnsi="宋体" w:cs="宋体"/>
          <w:color w:val="auto"/>
          <w:highlight w:val="none"/>
        </w:rPr>
      </w:pPr>
    </w:p>
    <w:p>
      <w:pPr>
        <w:spacing w:after="160" w:line="259" w:lineRule="auto"/>
        <w:rPr>
          <w:rFonts w:ascii="宋体" w:hAnsi="宋体" w:cs="宋体"/>
          <w:color w:val="auto"/>
          <w:highlight w:val="none"/>
        </w:rPr>
      </w:pPr>
      <w:r>
        <w:rPr>
          <w:rFonts w:hint="eastAsia" w:ascii="宋体" w:hAnsi="宋体" w:cs="宋体"/>
          <w:color w:val="auto"/>
          <w:highlight w:val="none"/>
        </w:rPr>
        <w:br w:type="page"/>
      </w:r>
    </w:p>
    <w:p>
      <w:pPr>
        <w:tabs>
          <w:tab w:val="left" w:pos="1185"/>
        </w:tabs>
        <w:ind w:firstLine="200"/>
        <w:rPr>
          <w:rFonts w:ascii="宋体" w:hAnsi="宋体" w:cs="宋体"/>
          <w:color w:val="auto"/>
          <w:highlight w:val="none"/>
        </w:rPr>
      </w:pP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2. 分项报价表</w:t>
      </w:r>
    </w:p>
    <w:p>
      <w:pPr>
        <w:ind w:firstLine="422" w:firstLineChars="200"/>
        <w:rPr>
          <w:rFonts w:ascii="宋体" w:hAnsi="宋体" w:cs="宋体"/>
          <w:b/>
          <w:bCs/>
          <w:color w:val="auto"/>
          <w:szCs w:val="21"/>
          <w:highlight w:val="none"/>
        </w:rPr>
      </w:pPr>
    </w:p>
    <w:p>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DMTSB标段</w:t>
      </w:r>
    </w:p>
    <w:p>
      <w:pPr>
        <w:spacing w:line="440" w:lineRule="exact"/>
        <w:ind w:firstLine="422" w:firstLineChars="200"/>
        <w:jc w:val="right"/>
        <w:rPr>
          <w:rFonts w:ascii="宋体" w:hAnsi="宋体" w:cs="宋体"/>
          <w:b/>
          <w:bCs/>
          <w:color w:val="auto"/>
          <w:szCs w:val="21"/>
          <w:highlight w:val="none"/>
        </w:rPr>
      </w:pPr>
      <w:r>
        <w:rPr>
          <w:rFonts w:hint="eastAsia" w:ascii="宋体" w:hAnsi="宋体" w:cs="宋体"/>
          <w:b/>
          <w:bCs/>
          <w:color w:val="auto"/>
          <w:szCs w:val="21"/>
          <w:highlight w:val="none"/>
        </w:rPr>
        <w:t>单位：人民币元</w:t>
      </w:r>
    </w:p>
    <w:tbl>
      <w:tblPr>
        <w:tblStyle w:val="37"/>
        <w:tblW w:w="9787" w:type="dxa"/>
        <w:jc w:val="center"/>
        <w:tblLayout w:type="fixed"/>
        <w:tblCellMar>
          <w:top w:w="0" w:type="dxa"/>
          <w:left w:w="0" w:type="dxa"/>
          <w:bottom w:w="0" w:type="dxa"/>
          <w:right w:w="0" w:type="dxa"/>
        </w:tblCellMar>
      </w:tblPr>
      <w:tblGrid>
        <w:gridCol w:w="625"/>
        <w:gridCol w:w="2205"/>
        <w:gridCol w:w="1701"/>
        <w:gridCol w:w="1134"/>
        <w:gridCol w:w="993"/>
        <w:gridCol w:w="992"/>
        <w:gridCol w:w="1277"/>
        <w:gridCol w:w="860"/>
      </w:tblGrid>
      <w:tr>
        <w:tblPrEx>
          <w:tblCellMar>
            <w:top w:w="0" w:type="dxa"/>
            <w:left w:w="0" w:type="dxa"/>
            <w:bottom w:w="0" w:type="dxa"/>
            <w:right w:w="0" w:type="dxa"/>
          </w:tblCellMar>
        </w:tblPrEx>
        <w:trPr>
          <w:trHeight w:val="257"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auto"/>
                <w:sz w:val="22"/>
                <w:highlight w:val="none"/>
              </w:rPr>
            </w:pPr>
            <w:r>
              <w:rPr>
                <w:rFonts w:hint="eastAsia" w:ascii="宋体" w:hAnsi="宋体" w:cs="宋体"/>
                <w:b/>
                <w:color w:val="auto"/>
                <w:sz w:val="22"/>
                <w:highlight w:val="none"/>
                <w:lang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0"/>
                <w:szCs w:val="20"/>
                <w:highlight w:val="none"/>
              </w:rPr>
            </w:pPr>
            <w:r>
              <w:rPr>
                <w:rFonts w:hint="eastAsia" w:ascii="宋体" w:hAnsi="宋体" w:cs="宋体"/>
                <w:b/>
                <w:color w:val="auto"/>
                <w:sz w:val="20"/>
                <w:szCs w:val="20"/>
                <w:highlight w:val="none"/>
                <w:lang w:bidi="ar"/>
              </w:rPr>
              <w:t>设备名称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0"/>
                <w:szCs w:val="20"/>
                <w:highlight w:val="none"/>
              </w:rPr>
            </w:pPr>
            <w:r>
              <w:rPr>
                <w:rFonts w:hint="eastAsia" w:ascii="宋体" w:hAnsi="宋体" w:cs="宋体"/>
                <w:b/>
                <w:color w:val="auto"/>
                <w:sz w:val="20"/>
                <w:szCs w:val="20"/>
                <w:highlight w:val="none"/>
                <w:lang w:bidi="ar"/>
              </w:rPr>
              <w:t>品牌和型号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auto"/>
                <w:sz w:val="20"/>
                <w:szCs w:val="20"/>
                <w:highlight w:val="none"/>
              </w:rPr>
            </w:pPr>
            <w:r>
              <w:rPr>
                <w:rFonts w:hint="eastAsia" w:ascii="宋体" w:hAnsi="宋体" w:cs="宋体"/>
                <w:b/>
                <w:color w:val="auto"/>
                <w:sz w:val="20"/>
                <w:szCs w:val="20"/>
                <w:highlight w:val="none"/>
                <w:lang w:bidi="ar"/>
              </w:rPr>
              <w:t>单位</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auto"/>
                <w:sz w:val="20"/>
                <w:szCs w:val="20"/>
                <w:highlight w:val="none"/>
              </w:rPr>
            </w:pPr>
            <w:r>
              <w:rPr>
                <w:rFonts w:hint="eastAsia" w:ascii="宋体" w:hAnsi="宋体" w:cs="宋体"/>
                <w:b/>
                <w:color w:val="auto"/>
                <w:sz w:val="20"/>
                <w:szCs w:val="20"/>
                <w:highlight w:val="none"/>
                <w:lang w:bidi="ar"/>
              </w:rPr>
              <w:t>数量</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auto"/>
                <w:sz w:val="20"/>
                <w:szCs w:val="20"/>
                <w:highlight w:val="none"/>
              </w:rPr>
            </w:pPr>
            <w:r>
              <w:rPr>
                <w:rFonts w:hint="eastAsia" w:ascii="宋体" w:hAnsi="宋体" w:cs="宋体"/>
                <w:b/>
                <w:color w:val="auto"/>
                <w:sz w:val="20"/>
                <w:szCs w:val="20"/>
                <w:highlight w:val="none"/>
                <w:lang w:bidi="ar"/>
              </w:rPr>
              <w:t>含税单价</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auto"/>
                <w:sz w:val="20"/>
                <w:szCs w:val="20"/>
                <w:highlight w:val="none"/>
              </w:rPr>
            </w:pPr>
            <w:r>
              <w:rPr>
                <w:rFonts w:hint="eastAsia" w:ascii="宋体" w:hAnsi="宋体" w:cs="宋体"/>
                <w:b/>
                <w:color w:val="auto"/>
                <w:sz w:val="20"/>
                <w:szCs w:val="20"/>
                <w:highlight w:val="none"/>
                <w:lang w:bidi="ar"/>
              </w:rPr>
              <w:t>含税总价</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auto"/>
                <w:sz w:val="20"/>
                <w:szCs w:val="20"/>
                <w:highlight w:val="none"/>
              </w:rPr>
            </w:pPr>
            <w:r>
              <w:rPr>
                <w:rFonts w:hint="eastAsia" w:ascii="宋体" w:hAnsi="宋体" w:cs="宋体"/>
                <w:b/>
                <w:color w:val="auto"/>
                <w:sz w:val="20"/>
                <w:szCs w:val="20"/>
                <w:highlight w:val="none"/>
                <w:lang w:bidi="ar"/>
              </w:rPr>
              <w:t>备注</w:t>
            </w: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highlight w:val="none"/>
              </w:rPr>
            </w:pPr>
            <w:r>
              <w:rPr>
                <w:rFonts w:hint="eastAsia" w:ascii="宋体" w:hAnsi="宋体" w:cs="宋体"/>
                <w:color w:val="auto"/>
                <w:sz w:val="22"/>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cs="Times New Roman" w:asciiTheme="minorEastAsia" w:hAnsiTheme="minorEastAsia" w:eastAsiaTheme="minorEastAsia"/>
                <w:color w:val="auto"/>
                <w:sz w:val="18"/>
                <w:szCs w:val="18"/>
                <w:highlight w:val="none"/>
                <w:lang w:eastAsia="zh-CN"/>
              </w:rPr>
            </w:pPr>
            <w:r>
              <w:rPr>
                <w:rFonts w:hint="eastAsia" w:cs="Times New Roman" w:asciiTheme="minorEastAsia" w:hAnsiTheme="minorEastAsia" w:eastAsiaTheme="minorEastAsia"/>
                <w:color w:val="auto"/>
                <w:sz w:val="18"/>
                <w:szCs w:val="18"/>
                <w:highlight w:val="none"/>
              </w:rPr>
              <w:t>小间距LED显示屏</w:t>
            </w:r>
            <w:r>
              <w:rPr>
                <w:rFonts w:hint="eastAsia" w:cs="Times New Roman" w:asciiTheme="minorEastAsia" w:hAnsiTheme="minorEastAsia" w:eastAsiaTheme="minorEastAsia"/>
                <w:color w:val="auto"/>
                <w:sz w:val="18"/>
                <w:szCs w:val="18"/>
                <w:highlight w:val="none"/>
                <w:lang w:eastAsia="zh-CN"/>
              </w:rPr>
              <w:t>（</w:t>
            </w:r>
            <w:r>
              <w:rPr>
                <w:rFonts w:hint="eastAsia" w:cs="Times New Roman" w:asciiTheme="minorEastAsia" w:hAnsiTheme="minorEastAsia" w:eastAsiaTheme="minorEastAsia"/>
                <w:color w:val="auto"/>
                <w:sz w:val="18"/>
                <w:szCs w:val="18"/>
                <w:highlight w:val="none"/>
                <w:lang w:val="en-US" w:eastAsia="zh-CN"/>
              </w:rPr>
              <w:t>全套设备，</w:t>
            </w:r>
            <w:r>
              <w:rPr>
                <w:rFonts w:hint="eastAsia" w:cs="Times New Roman" w:asciiTheme="minorEastAsia" w:hAnsiTheme="minorEastAsia" w:eastAsiaTheme="minorEastAsia"/>
                <w:color w:val="auto"/>
                <w:sz w:val="18"/>
                <w:szCs w:val="18"/>
                <w:highlight w:val="none"/>
              </w:rPr>
              <w:t>包括屏体、信号控制器、视频拼接器、控制软件、配电、屏体钢结构、外饰及配套安装材料</w:t>
            </w:r>
            <w:r>
              <w:rPr>
                <w:rFonts w:hint="eastAsia" w:cs="Times New Roman" w:asciiTheme="minorEastAsia" w:hAnsiTheme="minorEastAsia" w:eastAsiaTheme="minorEastAsia"/>
                <w:color w:val="auto"/>
                <w:sz w:val="18"/>
                <w:szCs w:val="18"/>
                <w:highlight w:val="none"/>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cs="Times New Roman" w:asciiTheme="minorEastAsia" w:hAnsiTheme="minorEastAsia" w:eastAsiaTheme="minorEastAsia"/>
                <w:color w:val="auto"/>
                <w:sz w:val="18"/>
                <w:szCs w:val="18"/>
                <w:highlight w:val="none"/>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highlight w:val="none"/>
                <w:lang w:bidi="ar"/>
              </w:rPr>
            </w:pPr>
            <w:r>
              <w:rPr>
                <w:rFonts w:hint="eastAsia" w:ascii="宋体" w:hAnsi="宋体" w:cs="宋体"/>
                <w:color w:val="auto"/>
                <w:sz w:val="22"/>
                <w:highlight w:val="none"/>
                <w:lang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线性阵列音箱</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支</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highlight w:val="none"/>
                <w:lang w:bidi="ar"/>
              </w:rPr>
            </w:pPr>
            <w:r>
              <w:rPr>
                <w:rFonts w:hint="eastAsia" w:ascii="宋体" w:hAnsi="宋体" w:cs="宋体"/>
                <w:color w:val="auto"/>
                <w:sz w:val="22"/>
                <w:highlight w:val="none"/>
                <w:lang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功率放大器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highlight w:val="none"/>
                <w:lang w:bidi="ar"/>
              </w:rPr>
            </w:pPr>
            <w:r>
              <w:rPr>
                <w:rFonts w:hint="eastAsia" w:ascii="宋体" w:hAnsi="宋体" w:cs="宋体"/>
                <w:color w:val="auto"/>
                <w:sz w:val="22"/>
                <w:highlight w:val="none"/>
                <w:lang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数字音频处理器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highlight w:val="none"/>
                <w:lang w:bidi="ar"/>
              </w:rPr>
            </w:pPr>
            <w:r>
              <w:rPr>
                <w:rFonts w:hint="eastAsia" w:ascii="宋体" w:hAnsi="宋体" w:cs="宋体"/>
                <w:color w:val="auto"/>
                <w:sz w:val="22"/>
                <w:highlight w:val="none"/>
                <w:lang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数字调音台</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highlight w:val="none"/>
                <w:lang w:bidi="ar"/>
              </w:rPr>
            </w:pPr>
            <w:r>
              <w:rPr>
                <w:rFonts w:hint="eastAsia" w:ascii="宋体" w:hAnsi="宋体" w:cs="宋体"/>
                <w:color w:val="auto"/>
                <w:sz w:val="22"/>
                <w:highlight w:val="none"/>
                <w:lang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反馈抑制器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highlight w:val="none"/>
                <w:lang w:bidi="ar"/>
              </w:rPr>
            </w:pPr>
            <w:r>
              <w:rPr>
                <w:rFonts w:hint="eastAsia" w:ascii="宋体" w:hAnsi="宋体" w:cs="宋体"/>
                <w:color w:val="auto"/>
                <w:sz w:val="22"/>
                <w:highlight w:val="none"/>
                <w:lang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无线手持话筒</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支</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highlight w:val="none"/>
                <w:lang w:bidi="ar"/>
              </w:rPr>
            </w:pPr>
            <w:r>
              <w:rPr>
                <w:rFonts w:hint="eastAsia" w:ascii="宋体" w:hAnsi="宋体" w:cs="宋体"/>
                <w:color w:val="auto"/>
                <w:sz w:val="22"/>
                <w:highlight w:val="none"/>
                <w:lang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电源时序器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highlight w:val="none"/>
                <w:lang w:bidi="ar"/>
              </w:rPr>
            </w:pPr>
            <w:r>
              <w:rPr>
                <w:rFonts w:hint="eastAsia" w:ascii="宋体" w:hAnsi="宋体" w:cs="宋体"/>
                <w:color w:val="auto"/>
                <w:sz w:val="22"/>
                <w:highlight w:val="none"/>
                <w:lang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无线数字会议主机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highlight w:val="none"/>
                <w:lang w:bidi="ar"/>
              </w:rPr>
            </w:pPr>
            <w:r>
              <w:rPr>
                <w:rFonts w:ascii="宋体" w:hAnsi="宋体" w:cs="宋体"/>
                <w:color w:val="auto"/>
                <w:sz w:val="22"/>
                <w:highlight w:val="none"/>
                <w:lang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无线数字会议单元</w:t>
            </w:r>
          </w:p>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(主席/代表)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支</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16</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highlight w:val="none"/>
                <w:lang w:bidi="ar"/>
              </w:rPr>
            </w:pPr>
            <w:r>
              <w:rPr>
                <w:rFonts w:hint="eastAsia" w:ascii="宋体" w:hAnsi="宋体" w:cs="宋体"/>
                <w:color w:val="auto"/>
                <w:sz w:val="22"/>
                <w:highlight w:val="none"/>
                <w:lang w:bidi="ar"/>
              </w:rPr>
              <w:t>1</w:t>
            </w:r>
            <w:r>
              <w:rPr>
                <w:rFonts w:ascii="宋体" w:hAnsi="宋体" w:cs="宋体"/>
                <w:color w:val="auto"/>
                <w:sz w:val="22"/>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高清会议摄像机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highlight w:val="none"/>
                <w:lang w:bidi="ar"/>
              </w:rPr>
            </w:pPr>
            <w:r>
              <w:rPr>
                <w:rFonts w:hint="eastAsia" w:ascii="宋体" w:hAnsi="宋体" w:cs="宋体"/>
                <w:color w:val="auto"/>
                <w:sz w:val="22"/>
                <w:highlight w:val="none"/>
                <w:lang w:bidi="ar"/>
              </w:rPr>
              <w:t>1</w:t>
            </w:r>
            <w:r>
              <w:rPr>
                <w:rFonts w:ascii="宋体" w:hAnsi="宋体" w:cs="宋体"/>
                <w:color w:val="auto"/>
                <w:sz w:val="22"/>
                <w:highlight w:val="none"/>
                <w:lang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中控系统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highlight w:val="none"/>
                <w:lang w:bidi="ar"/>
              </w:rPr>
            </w:pPr>
            <w:r>
              <w:rPr>
                <w:rFonts w:hint="eastAsia" w:ascii="宋体" w:hAnsi="宋体" w:cs="宋体"/>
                <w:color w:val="auto"/>
                <w:sz w:val="22"/>
                <w:highlight w:val="none"/>
                <w:lang w:bidi="ar"/>
              </w:rPr>
              <w:t>1</w:t>
            </w:r>
            <w:r>
              <w:rPr>
                <w:rFonts w:ascii="宋体" w:hAnsi="宋体" w:cs="宋体"/>
                <w:color w:val="auto"/>
                <w:sz w:val="22"/>
                <w:highlight w:val="none"/>
                <w:lang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线缆及辅材</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cs="Times New Roman" w:asciiTheme="minorEastAsia" w:hAnsiTheme="minorEastAsia" w:eastAsiaTheme="minorEastAsia"/>
                <w:color w:val="auto"/>
                <w:sz w:val="18"/>
                <w:szCs w:val="18"/>
                <w:highlight w:val="none"/>
              </w:rPr>
              <w:t>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highlight w:val="none"/>
                <w:lang w:bidi="ar"/>
              </w:rPr>
            </w:pPr>
            <w:r>
              <w:rPr>
                <w:rFonts w:hint="eastAsia" w:ascii="宋体" w:hAnsi="宋体" w:cs="宋体"/>
                <w:color w:val="auto"/>
                <w:sz w:val="22"/>
                <w:highlight w:val="none"/>
                <w:lang w:bidi="ar"/>
              </w:rPr>
              <w:t>1</w:t>
            </w:r>
            <w:r>
              <w:rPr>
                <w:rFonts w:ascii="宋体" w:hAnsi="宋体" w:cs="宋体"/>
                <w:color w:val="auto"/>
                <w:sz w:val="22"/>
                <w:highlight w:val="none"/>
                <w:lang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lang w:val="en-US" w:eastAsia="zh-CN"/>
              </w:rPr>
              <w:t>Led屏及会议系统</w:t>
            </w:r>
            <w:r>
              <w:rPr>
                <w:rFonts w:hint="eastAsia" w:cs="Times New Roman" w:asciiTheme="minorEastAsia" w:hAnsiTheme="minorEastAsia" w:eastAsiaTheme="minorEastAsia"/>
                <w:color w:val="auto"/>
                <w:sz w:val="18"/>
                <w:szCs w:val="18"/>
                <w:highlight w:val="none"/>
              </w:rPr>
              <w:t>安装调试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cs="Times New Roman" w:asciiTheme="minorEastAsia" w:hAnsiTheme="minorEastAsia" w:eastAsiaTheme="minorEastAsia"/>
                <w:color w:val="auto"/>
                <w:sz w:val="18"/>
                <w:szCs w:val="18"/>
                <w:highlight w:val="none"/>
              </w:rPr>
              <w:t>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241"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2"/>
                <w:highlight w:val="none"/>
              </w:rPr>
            </w:pP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0"/>
                <w:szCs w:val="20"/>
                <w:highlight w:val="none"/>
              </w:rPr>
            </w:pPr>
            <w:r>
              <w:rPr>
                <w:rFonts w:hint="eastAsia" w:ascii="宋体" w:hAnsi="宋体" w:cs="宋体"/>
                <w:b/>
                <w:color w:val="auto"/>
                <w:sz w:val="20"/>
                <w:szCs w:val="20"/>
                <w:highlight w:val="none"/>
                <w:lang w:bidi="ar"/>
              </w:rPr>
              <w:t>总价合计（大写）：</w:t>
            </w:r>
          </w:p>
        </w:tc>
        <w:tc>
          <w:tcPr>
            <w:tcW w:w="41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auto"/>
                <w:sz w:val="20"/>
                <w:szCs w:val="20"/>
                <w:highlight w:val="none"/>
              </w:rPr>
            </w:pPr>
            <w:r>
              <w:rPr>
                <w:rFonts w:hint="eastAsia" w:ascii="宋体" w:hAnsi="宋体" w:cs="宋体"/>
                <w:b/>
                <w:color w:val="auto"/>
                <w:sz w:val="20"/>
                <w:szCs w:val="20"/>
                <w:highlight w:val="none"/>
                <w:lang w:bidi="ar"/>
              </w:rPr>
              <w:t>（小写）：</w:t>
            </w:r>
          </w:p>
        </w:tc>
      </w:tr>
    </w:tbl>
    <w:p>
      <w:pPr>
        <w:ind w:firstLine="420" w:firstLineChars="200"/>
        <w:rPr>
          <w:rFonts w:ascii="宋体" w:hAnsi="宋体" w:cs="宋体"/>
          <w:color w:val="auto"/>
          <w:szCs w:val="21"/>
          <w:highlight w:val="none"/>
        </w:rPr>
      </w:pPr>
    </w:p>
    <w:p>
      <w:pPr>
        <w:wordWrap w:val="0"/>
        <w:jc w:val="right"/>
        <w:rPr>
          <w:rFonts w:ascii="宋体" w:hAnsi="宋体" w:cs="宋体"/>
          <w:color w:val="auto"/>
          <w:kern w:val="2"/>
          <w:sz w:val="24"/>
          <w:highlight w:val="none"/>
        </w:rPr>
      </w:pPr>
    </w:p>
    <w:p>
      <w:pPr>
        <w:jc w:val="right"/>
        <w:rPr>
          <w:rFonts w:ascii="宋体" w:hAnsi="宋体" w:cs="宋体"/>
          <w:color w:val="auto"/>
          <w:kern w:val="2"/>
          <w:sz w:val="24"/>
          <w:highlight w:val="none"/>
        </w:rPr>
      </w:pPr>
      <w:r>
        <w:rPr>
          <w:rFonts w:hint="eastAsia" w:ascii="宋体" w:hAnsi="宋体" w:cs="宋体"/>
          <w:color w:val="auto"/>
          <w:kern w:val="2"/>
          <w:sz w:val="24"/>
          <w:highlight w:val="none"/>
        </w:rPr>
        <w:t>比选申请人：</w:t>
      </w:r>
      <w:r>
        <w:rPr>
          <w:rFonts w:hint="eastAsia" w:ascii="宋体" w:hAnsi="宋体" w:cs="宋体"/>
          <w:color w:val="auto"/>
          <w:kern w:val="2"/>
          <w:sz w:val="24"/>
          <w:highlight w:val="none"/>
          <w:u w:val="single"/>
        </w:rPr>
        <w:t xml:space="preserve">       全称        </w:t>
      </w:r>
      <w:r>
        <w:rPr>
          <w:rFonts w:hint="eastAsia" w:ascii="宋体" w:hAnsi="宋体" w:cs="宋体"/>
          <w:color w:val="auto"/>
          <w:kern w:val="2"/>
          <w:sz w:val="24"/>
          <w:highlight w:val="none"/>
        </w:rPr>
        <w:t>（盖单位公章）</w:t>
      </w:r>
    </w:p>
    <w:p>
      <w:pPr>
        <w:widowControl w:val="0"/>
        <w:jc w:val="right"/>
        <w:rPr>
          <w:rFonts w:ascii="宋体" w:hAnsi="宋体" w:cs="宋体"/>
          <w:color w:val="auto"/>
          <w:kern w:val="2"/>
          <w:sz w:val="24"/>
          <w:highlight w:val="none"/>
        </w:rPr>
      </w:pPr>
      <w:r>
        <w:rPr>
          <w:rFonts w:hint="eastAsia" w:ascii="宋体" w:hAnsi="宋体" w:cs="宋体"/>
          <w:color w:val="auto"/>
          <w:kern w:val="2"/>
          <w:sz w:val="24"/>
          <w:highlight w:val="none"/>
        </w:rPr>
        <w:t>法定代表人或授权代表：</w:t>
      </w:r>
      <w:r>
        <w:rPr>
          <w:rFonts w:hint="eastAsia" w:ascii="宋体" w:hAnsi="宋体" w:cs="宋体"/>
          <w:color w:val="auto"/>
          <w:kern w:val="2"/>
          <w:sz w:val="24"/>
          <w:highlight w:val="none"/>
          <w:u w:val="single"/>
        </w:rPr>
        <w:t xml:space="preserve">               </w:t>
      </w:r>
      <w:r>
        <w:rPr>
          <w:rFonts w:hint="eastAsia" w:ascii="宋体" w:hAnsi="宋体" w:cs="宋体"/>
          <w:color w:val="auto"/>
          <w:kern w:val="2"/>
          <w:sz w:val="24"/>
          <w:highlight w:val="none"/>
        </w:rPr>
        <w:t>（签字）</w:t>
      </w:r>
    </w:p>
    <w:p>
      <w:pPr>
        <w:widowControl w:val="0"/>
        <w:jc w:val="right"/>
        <w:rPr>
          <w:rFonts w:ascii="宋体" w:hAnsi="宋体" w:cs="宋体"/>
          <w:color w:val="auto"/>
          <w:kern w:val="2"/>
          <w:sz w:val="24"/>
          <w:highlight w:val="none"/>
        </w:rPr>
      </w:pPr>
    </w:p>
    <w:p>
      <w:pPr>
        <w:widowControl w:val="0"/>
        <w:jc w:val="right"/>
        <w:rPr>
          <w:rFonts w:ascii="宋体" w:hAnsi="宋体" w:cs="宋体"/>
          <w:color w:val="auto"/>
          <w:highlight w:val="none"/>
        </w:rPr>
      </w:pPr>
      <w:r>
        <w:rPr>
          <w:rFonts w:hint="eastAsia" w:ascii="宋体" w:hAnsi="宋体" w:cs="宋体"/>
          <w:color w:val="auto"/>
          <w:kern w:val="2"/>
          <w:sz w:val="24"/>
          <w:highlight w:val="none"/>
        </w:rPr>
        <w:t>年   月   日</w:t>
      </w:r>
      <w:r>
        <w:rPr>
          <w:rFonts w:hint="eastAsia" w:ascii="宋体" w:hAnsi="宋体" w:cs="宋体"/>
          <w:color w:val="auto"/>
          <w:highlight w:val="none"/>
        </w:rPr>
        <w:br w:type="page"/>
      </w:r>
    </w:p>
    <w:p>
      <w:pPr>
        <w:pStyle w:val="5"/>
        <w:rPr>
          <w:rFonts w:ascii="宋体" w:hAnsi="宋体" w:eastAsia="宋体" w:cs="宋体"/>
          <w:color w:val="auto"/>
          <w:highlight w:val="none"/>
        </w:rPr>
      </w:pPr>
      <w:r>
        <w:rPr>
          <w:rFonts w:hint="eastAsia" w:ascii="宋体" w:hAnsi="宋体" w:eastAsia="宋体" w:cs="宋体"/>
          <w:color w:val="auto"/>
          <w:highlight w:val="none"/>
        </w:rPr>
        <w:t>五、资格审查资料</w:t>
      </w:r>
    </w:p>
    <w:p>
      <w:pPr>
        <w:pStyle w:val="6"/>
        <w:spacing w:before="20"/>
        <w:ind w:firstLine="482"/>
        <w:rPr>
          <w:rFonts w:ascii="宋体" w:hAnsi="宋体" w:eastAsia="宋体" w:cs="宋体"/>
          <w:color w:val="auto"/>
          <w:highlight w:val="none"/>
        </w:rPr>
      </w:pPr>
      <w:r>
        <w:rPr>
          <w:rFonts w:hint="eastAsia" w:ascii="宋体" w:hAnsi="宋体" w:eastAsia="宋体" w:cs="宋体"/>
          <w:color w:val="auto"/>
          <w:highlight w:val="none"/>
        </w:rPr>
        <w:t>（一）比选申请人基本情况表</w:t>
      </w:r>
    </w:p>
    <w:tbl>
      <w:tblPr>
        <w:tblStyle w:val="37"/>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5"/>
        <w:gridCol w:w="992"/>
        <w:gridCol w:w="2131"/>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highlight w:val="none"/>
              </w:rPr>
            </w:pPr>
            <w:r>
              <w:rPr>
                <w:rFonts w:hint="eastAsia" w:ascii="宋体" w:hAnsi="宋体" w:cs="宋体"/>
                <w:color w:val="auto"/>
                <w:highlight w:val="none"/>
              </w:rPr>
              <w:t>比选申请人名称</w:t>
            </w:r>
          </w:p>
        </w:tc>
        <w:tc>
          <w:tcPr>
            <w:tcW w:w="652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highlight w:val="none"/>
              </w:rPr>
            </w:pPr>
            <w:r>
              <w:rPr>
                <w:rFonts w:hint="eastAsia" w:ascii="宋体" w:hAnsi="宋体" w:cs="宋体"/>
                <w:color w:val="auto"/>
                <w:highlight w:val="none"/>
              </w:rPr>
              <w:t>注册</w:t>
            </w:r>
            <w:r>
              <w:rPr>
                <w:rFonts w:hint="eastAsia" w:ascii="宋体" w:hAnsi="宋体" w:cs="宋体"/>
                <w:color w:val="auto"/>
                <w:szCs w:val="21"/>
                <w:highlight w:val="none"/>
              </w:rPr>
              <w:t>资金</w:t>
            </w:r>
          </w:p>
        </w:tc>
        <w:tc>
          <w:tcPr>
            <w:tcW w:w="3123"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highlight w:val="none"/>
              </w:rPr>
            </w:pPr>
            <w:r>
              <w:rPr>
                <w:rFonts w:hint="eastAsia" w:ascii="宋体" w:hAnsi="宋体" w:cs="宋体"/>
                <w:color w:val="auto"/>
                <w:szCs w:val="21"/>
                <w:highlight w:val="none"/>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652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3123"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40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13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40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13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p>
            <w:pPr>
              <w:topLinePunct/>
              <w:spacing w:line="360" w:lineRule="exact"/>
              <w:jc w:val="center"/>
              <w:rPr>
                <w:rFonts w:ascii="宋体" w:hAnsi="宋体" w:cs="宋体"/>
                <w:color w:val="auto"/>
                <w:szCs w:val="21"/>
                <w:highlight w:val="none"/>
              </w:rPr>
            </w:pPr>
            <w:r>
              <w:rPr>
                <w:rFonts w:hint="eastAsia" w:ascii="宋体" w:hAnsi="宋体" w:cs="宋体"/>
                <w:color w:val="auto"/>
                <w:highlight w:val="none"/>
              </w:rPr>
              <w:t>（单位负责人）</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213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highlight w:val="none"/>
              </w:rPr>
            </w:pPr>
            <w:r>
              <w:rPr>
                <w:rFonts w:hint="eastAsia" w:ascii="宋体" w:hAnsi="宋体" w:cs="宋体"/>
                <w:color w:val="auto"/>
                <w:szCs w:val="21"/>
                <w:highlight w:val="none"/>
              </w:rPr>
              <w:t>基本账户开户银行</w:t>
            </w:r>
          </w:p>
        </w:tc>
        <w:tc>
          <w:tcPr>
            <w:tcW w:w="652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05" w:type="dxa"/>
            <w:tcBorders>
              <w:top w:val="single" w:color="auto" w:sz="4" w:space="0"/>
              <w:left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基本账户银行账号</w:t>
            </w:r>
          </w:p>
        </w:tc>
        <w:tc>
          <w:tcPr>
            <w:tcW w:w="6526" w:type="dxa"/>
            <w:gridSpan w:val="4"/>
            <w:tcBorders>
              <w:top w:val="single" w:color="auto" w:sz="4" w:space="0"/>
              <w:left w:val="single" w:color="auto" w:sz="4" w:space="0"/>
              <w:right w:val="single" w:color="auto" w:sz="4" w:space="0"/>
            </w:tcBorders>
            <w:vAlign w:val="center"/>
          </w:tcPr>
          <w:p>
            <w:pPr>
              <w:topLinePunct/>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05" w:type="dxa"/>
            <w:tcBorders>
              <w:top w:val="single" w:color="auto" w:sz="4" w:space="0"/>
              <w:left w:val="single" w:color="auto" w:sz="4" w:space="0"/>
              <w:right w:val="single" w:color="auto" w:sz="4" w:space="0"/>
            </w:tcBorders>
            <w:vAlign w:val="center"/>
          </w:tcPr>
          <w:p>
            <w:pPr>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近三年营业额</w:t>
            </w:r>
          </w:p>
        </w:tc>
        <w:tc>
          <w:tcPr>
            <w:tcW w:w="6526" w:type="dxa"/>
            <w:gridSpan w:val="4"/>
            <w:tcBorders>
              <w:top w:val="single" w:color="auto" w:sz="4" w:space="0"/>
              <w:left w:val="single" w:color="auto" w:sz="4" w:space="0"/>
              <w:right w:val="single" w:color="auto" w:sz="4" w:space="0"/>
            </w:tcBorders>
            <w:vAlign w:val="center"/>
          </w:tcPr>
          <w:p>
            <w:pPr>
              <w:topLinePunct/>
              <w:spacing w:line="360" w:lineRule="exact"/>
              <w:rPr>
                <w:rFonts w:ascii="宋体" w:hAnsi="宋体" w:cs="宋体"/>
                <w:color w:val="auto"/>
                <w:szCs w:val="21"/>
                <w:highlight w:val="none"/>
              </w:rPr>
            </w:pPr>
          </w:p>
        </w:tc>
      </w:tr>
    </w:tbl>
    <w:p>
      <w:pPr>
        <w:ind w:left="708" w:leftChars="337"/>
        <w:rPr>
          <w:rFonts w:ascii="宋体" w:hAnsi="宋体" w:cs="宋体"/>
          <w:color w:val="auto"/>
          <w:szCs w:val="21"/>
          <w:highlight w:val="none"/>
        </w:rPr>
      </w:pPr>
      <w:r>
        <w:rPr>
          <w:rFonts w:hint="eastAsia" w:ascii="宋体" w:hAnsi="宋体" w:cs="宋体"/>
          <w:color w:val="auto"/>
          <w:szCs w:val="21"/>
          <w:highlight w:val="none"/>
        </w:rPr>
        <w:t>注：</w:t>
      </w:r>
    </w:p>
    <w:p>
      <w:pPr>
        <w:ind w:left="708" w:leftChars="337"/>
        <w:rPr>
          <w:rFonts w:ascii="宋体" w:hAnsi="宋体" w:cs="宋体"/>
          <w:color w:val="auto"/>
          <w:szCs w:val="21"/>
          <w:highlight w:val="none"/>
        </w:rPr>
      </w:pPr>
      <w:r>
        <w:rPr>
          <w:rFonts w:hint="eastAsia" w:ascii="宋体" w:hAnsi="宋体" w:cs="宋体"/>
          <w:color w:val="auto"/>
          <w:szCs w:val="21"/>
          <w:highlight w:val="none"/>
        </w:rPr>
        <w:t>1、本表后附下列证明材料复印件：</w:t>
      </w:r>
    </w:p>
    <w:p>
      <w:pPr>
        <w:ind w:left="708" w:leftChars="337"/>
        <w:rPr>
          <w:rFonts w:ascii="宋体" w:hAnsi="宋体" w:cs="宋体"/>
          <w:color w:val="auto"/>
          <w:szCs w:val="21"/>
          <w:highlight w:val="none"/>
        </w:rPr>
      </w:pPr>
      <w:r>
        <w:rPr>
          <w:rFonts w:hint="eastAsia" w:ascii="宋体" w:hAnsi="宋体" w:cs="宋体"/>
          <w:color w:val="auto"/>
          <w:szCs w:val="21"/>
          <w:highlight w:val="none"/>
        </w:rPr>
        <w:t>（1）营业执照</w:t>
      </w:r>
    </w:p>
    <w:p>
      <w:pPr>
        <w:ind w:left="708" w:leftChars="337"/>
        <w:rPr>
          <w:rFonts w:ascii="宋体" w:hAnsi="宋体" w:cs="宋体"/>
          <w:color w:val="auto"/>
          <w:szCs w:val="21"/>
          <w:highlight w:val="none"/>
        </w:rPr>
      </w:pPr>
      <w:r>
        <w:rPr>
          <w:rFonts w:hint="eastAsia" w:ascii="宋体" w:hAnsi="宋体" w:cs="宋体"/>
          <w:color w:val="auto"/>
          <w:szCs w:val="21"/>
          <w:highlight w:val="none"/>
        </w:rPr>
        <w:t>（2）基本账户开户许可证或基本账户信息表（基本账户开户行出具）</w:t>
      </w:r>
    </w:p>
    <w:p>
      <w:pPr>
        <w:ind w:left="708" w:leftChars="337"/>
        <w:rPr>
          <w:rFonts w:ascii="宋体" w:hAnsi="宋体" w:cs="宋体"/>
          <w:color w:val="auto"/>
          <w:szCs w:val="21"/>
          <w:highlight w:val="none"/>
        </w:rPr>
      </w:pPr>
      <w:r>
        <w:rPr>
          <w:rFonts w:hint="eastAsia" w:ascii="宋体" w:hAnsi="宋体" w:cs="宋体"/>
          <w:color w:val="auto"/>
          <w:szCs w:val="21"/>
          <w:highlight w:val="none"/>
        </w:rPr>
        <w:t>（3）本表及以上证明材料盖申请人单位章。</w:t>
      </w:r>
    </w:p>
    <w:p>
      <w:pPr>
        <w:rPr>
          <w:rFonts w:ascii="宋体" w:hAnsi="宋体" w:cs="宋体"/>
          <w:b/>
          <w:color w:val="auto"/>
          <w:sz w:val="28"/>
          <w:highlight w:val="none"/>
        </w:rPr>
      </w:pPr>
      <w:r>
        <w:rPr>
          <w:rFonts w:hint="eastAsia" w:ascii="宋体" w:hAnsi="宋体" w:cs="宋体"/>
          <w:color w:val="auto"/>
          <w:highlight w:val="none"/>
        </w:rPr>
        <w:br w:type="page"/>
      </w:r>
      <w:r>
        <w:rPr>
          <w:rFonts w:hint="eastAsia" w:ascii="宋体" w:hAnsi="宋体" w:cs="宋体"/>
          <w:b/>
          <w:color w:val="auto"/>
          <w:sz w:val="28"/>
          <w:highlight w:val="none"/>
        </w:rPr>
        <w:t>附表 1、制造商的资格声明</w:t>
      </w:r>
    </w:p>
    <w:p>
      <w:pPr>
        <w:pStyle w:val="19"/>
        <w:spacing w:before="184"/>
        <w:ind w:left="381"/>
        <w:rPr>
          <w:rFonts w:ascii="宋体" w:hAnsi="宋体" w:cs="宋体"/>
          <w:color w:val="auto"/>
          <w:highlight w:val="none"/>
        </w:rPr>
      </w:pPr>
      <w:r>
        <w:rPr>
          <w:rFonts w:hint="eastAsia" w:ascii="宋体" w:hAnsi="宋体" w:cs="宋体"/>
          <w:color w:val="auto"/>
          <w:highlight w:val="none"/>
        </w:rPr>
        <w:t>1、 名称及其他资料：</w:t>
      </w:r>
    </w:p>
    <w:p>
      <w:pPr>
        <w:pStyle w:val="19"/>
        <w:spacing w:before="70"/>
        <w:ind w:left="381"/>
        <w:rPr>
          <w:rFonts w:ascii="宋体" w:hAnsi="宋体" w:cs="宋体"/>
          <w:color w:val="auto"/>
          <w:highlight w:val="none"/>
        </w:rPr>
      </w:pPr>
      <w:r>
        <w:rPr>
          <w:rFonts w:hint="eastAsia" w:ascii="宋体" w:hAnsi="宋体" w:cs="宋体"/>
          <w:color w:val="auto"/>
          <w:highlight w:val="none"/>
        </w:rPr>
        <w:t>A．制造商名称：</w:t>
      </w:r>
    </w:p>
    <w:p>
      <w:pPr>
        <w:pStyle w:val="19"/>
        <w:spacing w:before="70"/>
        <w:ind w:left="381"/>
        <w:rPr>
          <w:rFonts w:ascii="宋体" w:hAnsi="宋体" w:cs="宋体"/>
          <w:color w:val="auto"/>
          <w:highlight w:val="none"/>
        </w:rPr>
      </w:pPr>
      <w:r>
        <w:rPr>
          <w:rFonts w:hint="eastAsia" w:ascii="宋体" w:hAnsi="宋体" w:cs="宋体"/>
          <w:color w:val="auto"/>
          <w:highlight w:val="none"/>
        </w:rPr>
        <w:t xml:space="preserve"> B．地址：</w:t>
      </w:r>
    </w:p>
    <w:p>
      <w:pPr>
        <w:pStyle w:val="19"/>
        <w:spacing w:before="70"/>
        <w:ind w:left="381"/>
        <w:rPr>
          <w:rFonts w:ascii="宋体" w:hAnsi="宋体" w:cs="宋体"/>
          <w:color w:val="auto"/>
          <w:highlight w:val="none"/>
        </w:rPr>
      </w:pPr>
      <w:r>
        <w:rPr>
          <w:rFonts w:hint="eastAsia" w:ascii="宋体" w:hAnsi="宋体" w:cs="宋体"/>
          <w:color w:val="auto"/>
          <w:highlight w:val="none"/>
        </w:rPr>
        <w:t>C．电话／传真：</w:t>
      </w:r>
    </w:p>
    <w:p>
      <w:pPr>
        <w:pStyle w:val="19"/>
        <w:spacing w:before="70"/>
        <w:ind w:left="381"/>
        <w:rPr>
          <w:rFonts w:ascii="宋体" w:hAnsi="宋体" w:cs="宋体"/>
          <w:color w:val="auto"/>
          <w:highlight w:val="none"/>
        </w:rPr>
      </w:pPr>
      <w:r>
        <w:rPr>
          <w:rFonts w:hint="eastAsia" w:ascii="宋体" w:hAnsi="宋体" w:cs="宋体"/>
          <w:color w:val="auto"/>
          <w:highlight w:val="none"/>
        </w:rPr>
        <w:t>D．成立日期和／或注册日期：</w:t>
      </w:r>
    </w:p>
    <w:p>
      <w:pPr>
        <w:pStyle w:val="19"/>
        <w:spacing w:before="70"/>
        <w:ind w:left="381"/>
        <w:rPr>
          <w:rFonts w:ascii="宋体" w:hAnsi="宋体" w:cs="宋体"/>
          <w:color w:val="auto"/>
          <w:highlight w:val="none"/>
        </w:rPr>
      </w:pPr>
      <w:r>
        <w:rPr>
          <w:rFonts w:hint="eastAsia" w:ascii="宋体" w:hAnsi="宋体" w:cs="宋体"/>
          <w:color w:val="auto"/>
          <w:highlight w:val="none"/>
        </w:rPr>
        <w:t>E．最近资产平衡表（到</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时为止）</w:t>
      </w:r>
    </w:p>
    <w:p>
      <w:pPr>
        <w:pStyle w:val="19"/>
        <w:tabs>
          <w:tab w:val="left" w:pos="4370"/>
        </w:tabs>
        <w:spacing w:before="139"/>
        <w:ind w:left="590"/>
        <w:rPr>
          <w:rFonts w:ascii="宋体" w:hAnsi="宋体" w:cs="宋体"/>
          <w:color w:val="auto"/>
          <w:highlight w:val="none"/>
        </w:rPr>
      </w:pPr>
      <w:r>
        <w:rPr>
          <w:rFonts w:hint="eastAsia" w:ascii="宋体" w:hAnsi="宋体" w:cs="宋体"/>
          <w:color w:val="auto"/>
          <w:highlight w:val="none"/>
        </w:rPr>
        <w:t>（1）固定资产：</w:t>
      </w:r>
      <w:r>
        <w:rPr>
          <w:rFonts w:hint="eastAsia" w:ascii="宋体" w:hAnsi="宋体" w:cs="宋体"/>
          <w:color w:val="auto"/>
          <w:w w:val="95"/>
          <w:highlight w:val="none"/>
          <w:u w:val="single"/>
        </w:rPr>
        <w:t xml:space="preserve"> </w:t>
      </w:r>
      <w:r>
        <w:rPr>
          <w:rFonts w:hint="eastAsia" w:ascii="宋体" w:hAnsi="宋体" w:cs="宋体"/>
          <w:color w:val="auto"/>
          <w:highlight w:val="none"/>
          <w:u w:val="single"/>
        </w:rPr>
        <w:tab/>
      </w:r>
    </w:p>
    <w:p>
      <w:pPr>
        <w:pStyle w:val="19"/>
        <w:tabs>
          <w:tab w:val="left" w:pos="4370"/>
        </w:tabs>
        <w:spacing w:before="139"/>
        <w:ind w:left="590"/>
        <w:rPr>
          <w:rFonts w:ascii="宋体" w:hAnsi="宋体" w:cs="宋体"/>
          <w:color w:val="auto"/>
          <w:highlight w:val="none"/>
        </w:rPr>
      </w:pPr>
      <w:r>
        <w:rPr>
          <w:rFonts w:hint="eastAsia" w:ascii="宋体" w:hAnsi="宋体" w:cs="宋体"/>
          <w:color w:val="auto"/>
          <w:highlight w:val="none"/>
        </w:rPr>
        <w:t>（2）流动资产：</w:t>
      </w:r>
      <w:r>
        <w:rPr>
          <w:rFonts w:hint="eastAsia" w:ascii="宋体" w:hAnsi="宋体" w:cs="宋体"/>
          <w:color w:val="auto"/>
          <w:w w:val="95"/>
          <w:highlight w:val="none"/>
          <w:u w:val="single"/>
        </w:rPr>
        <w:t xml:space="preserve"> </w:t>
      </w:r>
      <w:r>
        <w:rPr>
          <w:rFonts w:hint="eastAsia" w:ascii="宋体" w:hAnsi="宋体" w:cs="宋体"/>
          <w:color w:val="auto"/>
          <w:highlight w:val="none"/>
          <w:u w:val="single"/>
        </w:rPr>
        <w:tab/>
      </w:r>
    </w:p>
    <w:p>
      <w:pPr>
        <w:pStyle w:val="19"/>
        <w:tabs>
          <w:tab w:val="left" w:pos="4370"/>
        </w:tabs>
        <w:spacing w:before="139"/>
        <w:ind w:left="590"/>
        <w:rPr>
          <w:rFonts w:ascii="宋体" w:hAnsi="宋体" w:cs="宋体"/>
          <w:color w:val="auto"/>
          <w:highlight w:val="none"/>
        </w:rPr>
      </w:pPr>
      <w:r>
        <w:rPr>
          <w:rFonts w:hint="eastAsia" w:ascii="宋体" w:hAnsi="宋体" w:cs="宋体"/>
          <w:color w:val="auto"/>
          <w:highlight w:val="none"/>
        </w:rPr>
        <w:t>（3）长期债务：</w:t>
      </w:r>
      <w:r>
        <w:rPr>
          <w:rFonts w:hint="eastAsia" w:ascii="宋体" w:hAnsi="宋体" w:cs="宋体"/>
          <w:color w:val="auto"/>
          <w:highlight w:val="none"/>
          <w:u w:val="single"/>
        </w:rPr>
        <w:tab/>
      </w:r>
      <w:r>
        <w:rPr>
          <w:rFonts w:hint="eastAsia" w:ascii="宋体" w:hAnsi="宋体" w:cs="宋体"/>
          <w:color w:val="auto"/>
          <w:highlight w:val="none"/>
        </w:rPr>
        <w:t xml:space="preserve"> </w:t>
      </w:r>
      <w:r>
        <w:rPr>
          <w:rFonts w:hint="eastAsia" w:ascii="宋体" w:hAnsi="宋体" w:cs="宋体"/>
          <w:color w:val="auto"/>
          <w:highlight w:val="none"/>
        </w:rPr>
        <w:tab/>
      </w:r>
    </w:p>
    <w:p>
      <w:pPr>
        <w:pStyle w:val="19"/>
        <w:tabs>
          <w:tab w:val="left" w:pos="4370"/>
        </w:tabs>
        <w:spacing w:before="139"/>
        <w:ind w:left="590"/>
        <w:rPr>
          <w:rFonts w:ascii="宋体" w:hAnsi="宋体" w:cs="宋体"/>
          <w:color w:val="auto"/>
          <w:highlight w:val="none"/>
        </w:rPr>
      </w:pPr>
      <w:r>
        <w:rPr>
          <w:rFonts w:hint="eastAsia" w:ascii="宋体" w:hAnsi="宋体" w:cs="宋体"/>
          <w:color w:val="auto"/>
          <w:highlight w:val="none"/>
        </w:rPr>
        <w:t>（4）流动债务：</w:t>
      </w:r>
      <w:r>
        <w:rPr>
          <w:rFonts w:hint="eastAsia" w:ascii="宋体" w:hAnsi="宋体" w:cs="宋体"/>
          <w:color w:val="auto"/>
          <w:w w:val="95"/>
          <w:highlight w:val="none"/>
          <w:u w:val="single"/>
        </w:rPr>
        <w:t xml:space="preserve"> </w:t>
      </w:r>
      <w:r>
        <w:rPr>
          <w:rFonts w:hint="eastAsia" w:ascii="宋体" w:hAnsi="宋体" w:cs="宋体"/>
          <w:color w:val="auto"/>
          <w:highlight w:val="none"/>
          <w:u w:val="single"/>
        </w:rPr>
        <w:tab/>
      </w:r>
    </w:p>
    <w:p>
      <w:pPr>
        <w:pStyle w:val="19"/>
        <w:tabs>
          <w:tab w:val="left" w:pos="4370"/>
        </w:tabs>
        <w:spacing w:before="139"/>
        <w:ind w:left="590"/>
        <w:rPr>
          <w:rFonts w:ascii="宋体" w:hAnsi="宋体" w:cs="宋体"/>
          <w:color w:val="auto"/>
          <w:highlight w:val="none"/>
        </w:rPr>
      </w:pPr>
      <w:r>
        <w:rPr>
          <w:rFonts w:hint="eastAsia" w:ascii="宋体" w:hAnsi="宋体" w:cs="宋体"/>
          <w:color w:val="auto"/>
          <w:highlight w:val="none"/>
        </w:rPr>
        <w:t>（5）净    值：</w:t>
      </w:r>
      <w:r>
        <w:rPr>
          <w:rFonts w:hint="eastAsia" w:ascii="宋体" w:hAnsi="宋体" w:cs="宋体"/>
          <w:color w:val="auto"/>
          <w:w w:val="95"/>
          <w:highlight w:val="none"/>
          <w:u w:val="single"/>
        </w:rPr>
        <w:t xml:space="preserve"> </w:t>
      </w:r>
      <w:r>
        <w:rPr>
          <w:rFonts w:hint="eastAsia" w:ascii="宋体" w:hAnsi="宋体" w:cs="宋体"/>
          <w:color w:val="auto"/>
          <w:highlight w:val="none"/>
          <w:u w:val="single"/>
        </w:rPr>
        <w:tab/>
      </w:r>
    </w:p>
    <w:p>
      <w:pPr>
        <w:pStyle w:val="19"/>
        <w:spacing w:before="1"/>
        <w:ind w:left="381"/>
        <w:rPr>
          <w:rFonts w:ascii="宋体" w:hAnsi="宋体" w:cs="宋体"/>
          <w:color w:val="auto"/>
          <w:highlight w:val="none"/>
        </w:rPr>
      </w:pPr>
      <w:r>
        <w:rPr>
          <w:rFonts w:hint="eastAsia" w:ascii="宋体" w:hAnsi="宋体" w:cs="宋体"/>
          <w:color w:val="auto"/>
          <w:highlight w:val="none"/>
        </w:rPr>
        <w:t>2、近三年的年营业总额：</w:t>
      </w:r>
    </w:p>
    <w:tbl>
      <w:tblPr>
        <w:tblStyle w:val="71"/>
        <w:tblW w:w="0" w:type="auto"/>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130" w:type="dxa"/>
          </w:tcPr>
          <w:p>
            <w:pPr>
              <w:pStyle w:val="73"/>
              <w:widowControl w:val="0"/>
              <w:spacing w:line="252" w:lineRule="exact"/>
              <w:ind w:left="108"/>
              <w:jc w:val="center"/>
              <w:rPr>
                <w:color w:val="auto"/>
                <w:highlight w:val="none"/>
              </w:rPr>
            </w:pPr>
            <w:r>
              <w:rPr>
                <w:rFonts w:hint="eastAsia"/>
                <w:color w:val="auto"/>
                <w:highlight w:val="none"/>
              </w:rPr>
              <w:t>年度</w:t>
            </w:r>
          </w:p>
        </w:tc>
        <w:tc>
          <w:tcPr>
            <w:tcW w:w="2130" w:type="dxa"/>
          </w:tcPr>
          <w:p>
            <w:pPr>
              <w:pStyle w:val="73"/>
              <w:widowControl w:val="0"/>
              <w:spacing w:line="252" w:lineRule="exact"/>
              <w:ind w:left="107"/>
              <w:jc w:val="center"/>
              <w:rPr>
                <w:color w:val="auto"/>
                <w:highlight w:val="none"/>
              </w:rPr>
            </w:pPr>
            <w:r>
              <w:rPr>
                <w:rFonts w:hint="eastAsia"/>
                <w:color w:val="auto"/>
                <w:highlight w:val="none"/>
              </w:rPr>
              <w:t>国内</w:t>
            </w:r>
          </w:p>
        </w:tc>
        <w:tc>
          <w:tcPr>
            <w:tcW w:w="2131" w:type="dxa"/>
          </w:tcPr>
          <w:p>
            <w:pPr>
              <w:pStyle w:val="73"/>
              <w:widowControl w:val="0"/>
              <w:spacing w:line="252" w:lineRule="exact"/>
              <w:ind w:left="108"/>
              <w:jc w:val="center"/>
              <w:rPr>
                <w:color w:val="auto"/>
                <w:highlight w:val="none"/>
              </w:rPr>
            </w:pPr>
            <w:r>
              <w:rPr>
                <w:rFonts w:hint="eastAsia"/>
                <w:color w:val="auto"/>
                <w:highlight w:val="none"/>
              </w:rPr>
              <w:t>出口</w:t>
            </w:r>
          </w:p>
        </w:tc>
        <w:tc>
          <w:tcPr>
            <w:tcW w:w="2131" w:type="dxa"/>
          </w:tcPr>
          <w:p>
            <w:pPr>
              <w:pStyle w:val="73"/>
              <w:widowControl w:val="0"/>
              <w:spacing w:line="252" w:lineRule="exact"/>
              <w:ind w:left="108"/>
              <w:jc w:val="center"/>
              <w:rPr>
                <w:color w:val="auto"/>
                <w:highlight w:val="none"/>
              </w:rPr>
            </w:pPr>
            <w:r>
              <w:rPr>
                <w:rFonts w:hint="eastAsia"/>
                <w:color w:val="auto"/>
                <w:highlight w:val="none"/>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30" w:type="dxa"/>
          </w:tcPr>
          <w:p>
            <w:pPr>
              <w:pStyle w:val="73"/>
              <w:widowControl w:val="0"/>
              <w:rPr>
                <w:color w:val="auto"/>
                <w:sz w:val="20"/>
                <w:highlight w:val="none"/>
              </w:rPr>
            </w:pPr>
          </w:p>
        </w:tc>
        <w:tc>
          <w:tcPr>
            <w:tcW w:w="2130" w:type="dxa"/>
          </w:tcPr>
          <w:p>
            <w:pPr>
              <w:pStyle w:val="73"/>
              <w:widowControl w:val="0"/>
              <w:rPr>
                <w:color w:val="auto"/>
                <w:sz w:val="20"/>
                <w:highlight w:val="none"/>
              </w:rPr>
            </w:pPr>
          </w:p>
        </w:tc>
        <w:tc>
          <w:tcPr>
            <w:tcW w:w="2131" w:type="dxa"/>
          </w:tcPr>
          <w:p>
            <w:pPr>
              <w:pStyle w:val="73"/>
              <w:widowControl w:val="0"/>
              <w:rPr>
                <w:color w:val="auto"/>
                <w:sz w:val="20"/>
                <w:highlight w:val="none"/>
              </w:rPr>
            </w:pPr>
          </w:p>
        </w:tc>
        <w:tc>
          <w:tcPr>
            <w:tcW w:w="2131" w:type="dxa"/>
          </w:tcPr>
          <w:p>
            <w:pPr>
              <w:pStyle w:val="73"/>
              <w:widowControl w:val="0"/>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30" w:type="dxa"/>
          </w:tcPr>
          <w:p>
            <w:pPr>
              <w:pStyle w:val="73"/>
              <w:widowControl w:val="0"/>
              <w:rPr>
                <w:color w:val="auto"/>
                <w:sz w:val="20"/>
                <w:highlight w:val="none"/>
              </w:rPr>
            </w:pPr>
          </w:p>
        </w:tc>
        <w:tc>
          <w:tcPr>
            <w:tcW w:w="2130" w:type="dxa"/>
          </w:tcPr>
          <w:p>
            <w:pPr>
              <w:pStyle w:val="73"/>
              <w:widowControl w:val="0"/>
              <w:rPr>
                <w:color w:val="auto"/>
                <w:sz w:val="20"/>
                <w:highlight w:val="none"/>
              </w:rPr>
            </w:pPr>
          </w:p>
        </w:tc>
        <w:tc>
          <w:tcPr>
            <w:tcW w:w="2131" w:type="dxa"/>
          </w:tcPr>
          <w:p>
            <w:pPr>
              <w:pStyle w:val="73"/>
              <w:widowControl w:val="0"/>
              <w:rPr>
                <w:color w:val="auto"/>
                <w:sz w:val="20"/>
                <w:highlight w:val="none"/>
              </w:rPr>
            </w:pPr>
          </w:p>
        </w:tc>
        <w:tc>
          <w:tcPr>
            <w:tcW w:w="2131" w:type="dxa"/>
          </w:tcPr>
          <w:p>
            <w:pPr>
              <w:pStyle w:val="73"/>
              <w:widowControl w:val="0"/>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30" w:type="dxa"/>
          </w:tcPr>
          <w:p>
            <w:pPr>
              <w:pStyle w:val="73"/>
              <w:widowControl w:val="0"/>
              <w:rPr>
                <w:color w:val="auto"/>
                <w:sz w:val="20"/>
                <w:highlight w:val="none"/>
              </w:rPr>
            </w:pPr>
          </w:p>
        </w:tc>
        <w:tc>
          <w:tcPr>
            <w:tcW w:w="2130" w:type="dxa"/>
          </w:tcPr>
          <w:p>
            <w:pPr>
              <w:pStyle w:val="73"/>
              <w:widowControl w:val="0"/>
              <w:rPr>
                <w:color w:val="auto"/>
                <w:sz w:val="20"/>
                <w:highlight w:val="none"/>
              </w:rPr>
            </w:pPr>
          </w:p>
        </w:tc>
        <w:tc>
          <w:tcPr>
            <w:tcW w:w="2131" w:type="dxa"/>
          </w:tcPr>
          <w:p>
            <w:pPr>
              <w:pStyle w:val="73"/>
              <w:widowControl w:val="0"/>
              <w:rPr>
                <w:color w:val="auto"/>
                <w:sz w:val="20"/>
                <w:highlight w:val="none"/>
              </w:rPr>
            </w:pPr>
          </w:p>
        </w:tc>
        <w:tc>
          <w:tcPr>
            <w:tcW w:w="2131" w:type="dxa"/>
          </w:tcPr>
          <w:p>
            <w:pPr>
              <w:pStyle w:val="73"/>
              <w:widowControl w:val="0"/>
              <w:rPr>
                <w:color w:val="auto"/>
                <w:sz w:val="20"/>
                <w:highlight w:val="none"/>
              </w:rPr>
            </w:pPr>
          </w:p>
        </w:tc>
      </w:tr>
    </w:tbl>
    <w:p>
      <w:pPr>
        <w:pStyle w:val="19"/>
        <w:numPr>
          <w:ilvl w:val="0"/>
          <w:numId w:val="4"/>
        </w:numPr>
        <w:tabs>
          <w:tab w:val="left" w:pos="6835"/>
        </w:tabs>
        <w:spacing w:before="1" w:line="364" w:lineRule="auto"/>
        <w:ind w:left="696" w:right="3749" w:hanging="315"/>
        <w:jc w:val="both"/>
        <w:rPr>
          <w:rFonts w:ascii="宋体" w:hAnsi="宋体" w:cs="宋体"/>
          <w:color w:val="auto"/>
          <w:w w:val="95"/>
          <w:highlight w:val="none"/>
          <w:u w:val="single"/>
        </w:rPr>
      </w:pPr>
      <w:r>
        <w:rPr>
          <w:rFonts w:hint="eastAsia" w:ascii="宋体" w:hAnsi="宋体" w:cs="宋体"/>
          <w:color w:val="auto"/>
          <w:spacing w:val="-4"/>
          <w:highlight w:val="none"/>
        </w:rPr>
        <w:t>开户银行的名称：</w:t>
      </w:r>
      <w:r>
        <w:rPr>
          <w:rFonts w:hint="eastAsia" w:ascii="宋体" w:hAnsi="宋体" w:cs="宋体"/>
          <w:color w:val="auto"/>
          <w:w w:val="95"/>
          <w:highlight w:val="none"/>
          <w:u w:val="single"/>
        </w:rPr>
        <w:tab/>
      </w:r>
    </w:p>
    <w:p>
      <w:pPr>
        <w:pStyle w:val="19"/>
        <w:numPr>
          <w:ilvl w:val="255"/>
          <w:numId w:val="0"/>
        </w:numPr>
        <w:tabs>
          <w:tab w:val="left" w:pos="6835"/>
        </w:tabs>
        <w:spacing w:before="1" w:line="364" w:lineRule="auto"/>
        <w:ind w:left="381" w:right="3749" w:firstLine="202" w:firstLineChars="100"/>
        <w:jc w:val="both"/>
        <w:rPr>
          <w:rFonts w:ascii="宋体" w:hAnsi="宋体" w:cs="宋体"/>
          <w:color w:val="auto"/>
          <w:w w:val="95"/>
          <w:highlight w:val="none"/>
          <w:u w:val="single"/>
        </w:rPr>
      </w:pPr>
      <w:r>
        <w:rPr>
          <w:rFonts w:hint="eastAsia" w:ascii="宋体" w:hAnsi="宋体" w:cs="宋体"/>
          <w:color w:val="auto"/>
          <w:spacing w:val="-4"/>
          <w:highlight w:val="none"/>
        </w:rPr>
        <w:t>开户银行的地址：</w:t>
      </w:r>
      <w:r>
        <w:rPr>
          <w:rFonts w:hint="eastAsia" w:ascii="宋体" w:hAnsi="宋体" w:cs="宋体"/>
          <w:color w:val="auto"/>
          <w:w w:val="95"/>
          <w:highlight w:val="none"/>
          <w:u w:val="single"/>
        </w:rPr>
        <w:tab/>
      </w:r>
      <w:r>
        <w:rPr>
          <w:rFonts w:hint="eastAsia" w:ascii="宋体" w:hAnsi="宋体" w:cs="宋体"/>
          <w:color w:val="auto"/>
          <w:w w:val="95"/>
          <w:highlight w:val="none"/>
          <w:u w:val="single"/>
        </w:rPr>
        <w:t xml:space="preserve"> </w:t>
      </w:r>
    </w:p>
    <w:p>
      <w:pPr>
        <w:pStyle w:val="19"/>
        <w:tabs>
          <w:tab w:val="left" w:pos="6835"/>
        </w:tabs>
        <w:spacing w:before="1" w:line="364" w:lineRule="auto"/>
        <w:ind w:left="696" w:right="3749" w:hanging="315"/>
        <w:jc w:val="both"/>
        <w:rPr>
          <w:rFonts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电话、传真：</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p>
    <w:p>
      <w:pPr>
        <w:pStyle w:val="19"/>
        <w:spacing w:line="364" w:lineRule="auto"/>
        <w:ind w:left="381" w:right="1415" w:firstLine="420"/>
        <w:rPr>
          <w:rFonts w:ascii="宋体" w:hAnsi="宋体" w:cs="宋体"/>
          <w:color w:val="auto"/>
          <w:highlight w:val="none"/>
        </w:rPr>
      </w:pPr>
      <w:r>
        <w:rPr>
          <w:rFonts w:hint="eastAsia" w:ascii="宋体" w:hAnsi="宋体" w:cs="宋体"/>
          <w:color w:val="auto"/>
          <w:spacing w:val="-4"/>
          <w:highlight w:val="none"/>
        </w:rPr>
        <w:t>就我方全部所知，兹证明上述声明是真实、正确的，已提供的全部资料和数据有效。我方同意根据比选人要求出示文件予以证实。</w:t>
      </w:r>
    </w:p>
    <w:p>
      <w:pPr>
        <w:pStyle w:val="19"/>
        <w:tabs>
          <w:tab w:val="left" w:pos="5629"/>
          <w:tab w:val="left" w:pos="6889"/>
        </w:tabs>
        <w:spacing w:line="364" w:lineRule="auto"/>
        <w:ind w:left="381" w:right="3695"/>
        <w:rPr>
          <w:rFonts w:ascii="宋体" w:hAnsi="宋体" w:cs="宋体"/>
          <w:color w:val="auto"/>
          <w:w w:val="95"/>
          <w:highlight w:val="none"/>
        </w:rPr>
      </w:pPr>
      <w:r>
        <w:rPr>
          <w:rFonts w:hint="eastAsia" w:ascii="宋体" w:hAnsi="宋体" w:cs="宋体"/>
          <w:color w:val="auto"/>
          <w:spacing w:val="-4"/>
          <w:highlight w:val="none"/>
        </w:rPr>
        <w:t>制造商名称</w:t>
      </w:r>
      <w:r>
        <w:rPr>
          <w:rFonts w:hint="eastAsia" w:ascii="宋体" w:hAnsi="宋体" w:cs="宋体"/>
          <w:color w:val="auto"/>
          <w:w w:val="95"/>
          <w:highlight w:val="none"/>
        </w:rPr>
        <w:t>：</w:t>
      </w:r>
      <w:r>
        <w:rPr>
          <w:rFonts w:hint="eastAsia" w:ascii="宋体" w:hAnsi="宋体" w:cs="宋体"/>
          <w:color w:val="auto"/>
          <w:spacing w:val="-4"/>
          <w:highlight w:val="none"/>
          <w:u w:val="single"/>
        </w:rPr>
        <w:t>（盖单位章）</w:t>
      </w:r>
      <w:r>
        <w:rPr>
          <w:rFonts w:hint="eastAsia" w:ascii="宋体" w:hAnsi="宋体" w:cs="宋体"/>
          <w:color w:val="auto"/>
          <w:w w:val="95"/>
          <w:highlight w:val="none"/>
          <w:u w:val="single"/>
        </w:rPr>
        <w:tab/>
      </w:r>
      <w:r>
        <w:rPr>
          <w:rFonts w:hint="eastAsia" w:ascii="宋体" w:hAnsi="宋体" w:cs="宋体"/>
          <w:color w:val="auto"/>
          <w:w w:val="95"/>
          <w:highlight w:val="none"/>
        </w:rPr>
        <w:t xml:space="preserve">                           </w:t>
      </w:r>
    </w:p>
    <w:p>
      <w:pPr>
        <w:pStyle w:val="19"/>
        <w:tabs>
          <w:tab w:val="left" w:pos="5629"/>
          <w:tab w:val="left" w:pos="6889"/>
        </w:tabs>
        <w:spacing w:line="364" w:lineRule="auto"/>
        <w:ind w:left="381" w:right="3695"/>
        <w:rPr>
          <w:rFonts w:ascii="宋体" w:hAnsi="宋体" w:cs="宋体"/>
          <w:color w:val="auto"/>
          <w:highlight w:val="none"/>
        </w:rPr>
      </w:pPr>
      <w:r>
        <w:rPr>
          <w:rFonts w:hint="eastAsia" w:ascii="宋体" w:hAnsi="宋体" w:cs="宋体"/>
          <w:color w:val="auto"/>
          <w:spacing w:val="-4"/>
          <w:highlight w:val="none"/>
        </w:rPr>
        <w:t>法定代表人或委托代理人：</w:t>
      </w:r>
      <w:r>
        <w:rPr>
          <w:rFonts w:hint="eastAsia" w:ascii="宋体" w:hAnsi="宋体" w:cs="宋体"/>
          <w:color w:val="auto"/>
          <w:spacing w:val="-4"/>
          <w:highlight w:val="none"/>
          <w:u w:val="single"/>
        </w:rPr>
        <w:t>（职务）</w:t>
      </w:r>
      <w:r>
        <w:rPr>
          <w:rFonts w:hint="eastAsia" w:ascii="宋体" w:hAnsi="宋体" w:cs="宋体"/>
          <w:color w:val="auto"/>
          <w:highlight w:val="none"/>
          <w:u w:val="single"/>
        </w:rPr>
        <w:tab/>
      </w:r>
      <w:r>
        <w:rPr>
          <w:rFonts w:hint="eastAsia" w:ascii="宋体" w:hAnsi="宋体" w:cs="宋体"/>
          <w:color w:val="auto"/>
          <w:highlight w:val="none"/>
          <w:u w:val="single"/>
        </w:rPr>
        <w:tab/>
      </w:r>
    </w:p>
    <w:p>
      <w:pPr>
        <w:pStyle w:val="19"/>
        <w:tabs>
          <w:tab w:val="left" w:pos="5629"/>
        </w:tabs>
        <w:spacing w:line="267" w:lineRule="exact"/>
        <w:ind w:left="1641" w:right="949" w:rightChars="452"/>
        <w:rPr>
          <w:rFonts w:ascii="宋体" w:hAnsi="宋体" w:cs="宋体"/>
          <w:color w:val="auto"/>
          <w:highlight w:val="none"/>
        </w:rPr>
      </w:pPr>
      <w:r>
        <w:rPr>
          <w:rFonts w:hint="eastAsia" w:ascii="宋体" w:hAnsi="宋体" w:cs="宋体"/>
          <w:color w:val="auto"/>
          <w:spacing w:val="-4"/>
          <w:highlight w:val="none"/>
          <w:u w:val="single"/>
        </w:rPr>
        <w:t>（签字）</w:t>
      </w:r>
      <w:r>
        <w:rPr>
          <w:rFonts w:hint="eastAsia" w:ascii="宋体" w:hAnsi="宋体" w:cs="宋体"/>
          <w:color w:val="auto"/>
          <w:highlight w:val="none"/>
          <w:u w:val="single"/>
        </w:rPr>
        <w:tab/>
      </w:r>
    </w:p>
    <w:p>
      <w:pPr>
        <w:pStyle w:val="19"/>
        <w:tabs>
          <w:tab w:val="left" w:pos="6784"/>
          <w:tab w:val="left" w:pos="7415"/>
          <w:tab w:val="left" w:pos="8044"/>
        </w:tabs>
        <w:spacing w:before="137"/>
        <w:ind w:left="6050"/>
        <w:rPr>
          <w:rFonts w:ascii="宋体" w:hAnsi="宋体" w:cs="宋体"/>
          <w:color w:val="auto"/>
          <w:highlight w:val="none"/>
        </w:rPr>
      </w:pPr>
      <w:r>
        <w:rPr>
          <w:rFonts w:hint="eastAsia" w:ascii="宋体" w:hAnsi="宋体" w:cs="宋体"/>
          <w:color w:val="auto"/>
          <w:w w:val="99"/>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日</w:t>
      </w:r>
    </w:p>
    <w:p>
      <w:pPr>
        <w:pStyle w:val="19"/>
        <w:spacing w:before="70"/>
        <w:ind w:left="381"/>
        <w:rPr>
          <w:rFonts w:ascii="宋体" w:hAnsi="宋体" w:cs="宋体"/>
          <w:color w:val="auto"/>
          <w:highlight w:val="none"/>
        </w:rPr>
      </w:pPr>
      <w:r>
        <w:rPr>
          <w:rFonts w:hint="eastAsia" w:ascii="宋体" w:hAnsi="宋体" w:cs="宋体"/>
          <w:color w:val="auto"/>
          <w:highlight w:val="none"/>
        </w:rPr>
        <w:t>注：申请人为制造商时提供本声明。</w:t>
      </w:r>
    </w:p>
    <w:p>
      <w:pPr>
        <w:ind w:right="1233" w:rightChars="587"/>
        <w:rPr>
          <w:rFonts w:ascii="宋体" w:hAnsi="宋体" w:cs="宋体"/>
          <w:color w:val="auto"/>
          <w:highlight w:val="none"/>
        </w:rPr>
      </w:pPr>
    </w:p>
    <w:p>
      <w:pPr>
        <w:adjustRightInd w:val="0"/>
        <w:snapToGrid w:val="0"/>
        <w:jc w:val="center"/>
        <w:rPr>
          <w:rFonts w:ascii="宋体" w:hAnsi="宋体" w:cs="宋体"/>
          <w:b/>
          <w:color w:val="auto"/>
          <w:sz w:val="28"/>
          <w:highlight w:val="none"/>
        </w:rPr>
      </w:pPr>
      <w:r>
        <w:rPr>
          <w:rFonts w:hint="eastAsia" w:ascii="宋体" w:hAnsi="宋体" w:cs="宋体"/>
          <w:b/>
          <w:color w:val="auto"/>
          <w:sz w:val="28"/>
          <w:highlight w:val="none"/>
        </w:rPr>
        <w:t>附表2、代理商的资格声明</w:t>
      </w:r>
    </w:p>
    <w:p>
      <w:pPr>
        <w:pStyle w:val="19"/>
        <w:spacing w:before="12"/>
        <w:rPr>
          <w:b/>
          <w:color w:val="auto"/>
          <w:sz w:val="19"/>
          <w:highlight w:val="none"/>
        </w:rPr>
      </w:pPr>
    </w:p>
    <w:p>
      <w:pPr>
        <w:pStyle w:val="19"/>
        <w:spacing w:before="70"/>
        <w:rPr>
          <w:color w:val="auto"/>
          <w:highlight w:val="none"/>
        </w:rPr>
      </w:pPr>
      <w:r>
        <w:rPr>
          <w:color w:val="auto"/>
          <w:highlight w:val="none"/>
        </w:rPr>
        <w:t>1、名称及其他资料：</w:t>
      </w:r>
    </w:p>
    <w:p>
      <w:pPr>
        <w:pStyle w:val="19"/>
        <w:spacing w:before="170"/>
        <w:rPr>
          <w:color w:val="auto"/>
          <w:highlight w:val="none"/>
        </w:rPr>
      </w:pPr>
      <w:r>
        <w:rPr>
          <w:color w:val="auto"/>
          <w:highlight w:val="none"/>
        </w:rPr>
        <w:t>A．公司名称：</w:t>
      </w:r>
    </w:p>
    <w:p>
      <w:pPr>
        <w:pStyle w:val="19"/>
        <w:spacing w:before="170"/>
        <w:rPr>
          <w:color w:val="auto"/>
          <w:highlight w:val="none"/>
        </w:rPr>
      </w:pPr>
      <w:r>
        <w:rPr>
          <w:color w:val="auto"/>
          <w:highlight w:val="none"/>
        </w:rPr>
        <w:t>B．地址：</w:t>
      </w:r>
    </w:p>
    <w:p>
      <w:pPr>
        <w:pStyle w:val="19"/>
        <w:spacing w:before="173"/>
        <w:rPr>
          <w:color w:val="auto"/>
          <w:highlight w:val="none"/>
        </w:rPr>
      </w:pPr>
      <w:r>
        <w:rPr>
          <w:color w:val="auto"/>
          <w:highlight w:val="none"/>
        </w:rPr>
        <w:t>C．电话／传真：</w:t>
      </w:r>
    </w:p>
    <w:p>
      <w:pPr>
        <w:pStyle w:val="19"/>
        <w:spacing w:before="170"/>
        <w:rPr>
          <w:color w:val="auto"/>
          <w:highlight w:val="none"/>
        </w:rPr>
      </w:pPr>
      <w:r>
        <w:rPr>
          <w:color w:val="auto"/>
          <w:highlight w:val="none"/>
        </w:rPr>
        <w:t>D．成立日期和／或注册日期：</w:t>
      </w:r>
    </w:p>
    <w:p>
      <w:pPr>
        <w:pStyle w:val="19"/>
        <w:tabs>
          <w:tab w:val="left" w:pos="4370"/>
        </w:tabs>
        <w:spacing w:before="139"/>
        <w:rPr>
          <w:color w:val="auto"/>
          <w:highlight w:val="none"/>
        </w:rPr>
      </w:pPr>
      <w:r>
        <w:rPr>
          <w:color w:val="auto"/>
          <w:highlight w:val="none"/>
        </w:rPr>
        <w:t>E．最近资产平衡表（到</w:t>
      </w:r>
      <w:r>
        <w:rPr>
          <w:color w:val="auto"/>
          <w:highlight w:val="none"/>
          <w:u w:val="single"/>
        </w:rPr>
        <w:t xml:space="preserve"> </w:t>
      </w:r>
      <w:r>
        <w:rPr>
          <w:color w:val="auto"/>
          <w:highlight w:val="none"/>
          <w:u w:val="single"/>
        </w:rPr>
        <w:tab/>
      </w:r>
      <w:r>
        <w:rPr>
          <w:color w:val="auto"/>
          <w:highlight w:val="none"/>
        </w:rPr>
        <w:t>时为止）</w:t>
      </w:r>
    </w:p>
    <w:p>
      <w:pPr>
        <w:pStyle w:val="19"/>
        <w:tabs>
          <w:tab w:val="left" w:pos="4370"/>
        </w:tabs>
        <w:spacing w:before="139"/>
        <w:rPr>
          <w:rFonts w:asciiTheme="minorEastAsia" w:hAnsiTheme="minorEastAsia" w:eastAsiaTheme="minorEastAsia"/>
          <w:color w:val="auto"/>
          <w:highlight w:val="none"/>
        </w:rPr>
      </w:pPr>
      <w:r>
        <w:rPr>
          <w:color w:val="auto"/>
          <w:highlight w:val="none"/>
        </w:rPr>
        <w:t>（1）固定资产：</w:t>
      </w:r>
      <w:r>
        <w:rPr>
          <w:rFonts w:asciiTheme="minorEastAsia" w:hAnsiTheme="minorEastAsia" w:eastAsiaTheme="minorEastAsia"/>
          <w:color w:val="auto"/>
          <w:w w:val="95"/>
          <w:highlight w:val="none"/>
          <w:u w:val="single"/>
        </w:rPr>
        <w:t xml:space="preserve"> </w:t>
      </w:r>
      <w:r>
        <w:rPr>
          <w:rFonts w:asciiTheme="minorEastAsia" w:hAnsiTheme="minorEastAsia" w:eastAsiaTheme="minorEastAsia"/>
          <w:color w:val="auto"/>
          <w:highlight w:val="none"/>
          <w:u w:val="single"/>
        </w:rPr>
        <w:tab/>
      </w:r>
    </w:p>
    <w:p>
      <w:pPr>
        <w:pStyle w:val="19"/>
        <w:tabs>
          <w:tab w:val="left" w:pos="4370"/>
        </w:tabs>
        <w:spacing w:before="139"/>
        <w:rPr>
          <w:rFonts w:asciiTheme="minorEastAsia" w:hAnsiTheme="minorEastAsia" w:eastAsiaTheme="minorEastAsia"/>
          <w:color w:val="auto"/>
          <w:highlight w:val="none"/>
        </w:rPr>
      </w:pPr>
      <w:r>
        <w:rPr>
          <w:color w:val="auto"/>
          <w:highlight w:val="none"/>
        </w:rPr>
        <w:t>（2）流动资产：</w:t>
      </w:r>
      <w:r>
        <w:rPr>
          <w:rFonts w:asciiTheme="minorEastAsia" w:hAnsiTheme="minorEastAsia" w:eastAsiaTheme="minorEastAsia"/>
          <w:color w:val="auto"/>
          <w:w w:val="95"/>
          <w:highlight w:val="none"/>
          <w:u w:val="single"/>
        </w:rPr>
        <w:t xml:space="preserve"> </w:t>
      </w:r>
      <w:r>
        <w:rPr>
          <w:rFonts w:asciiTheme="minorEastAsia" w:hAnsiTheme="minorEastAsia" w:eastAsiaTheme="minorEastAsia"/>
          <w:color w:val="auto"/>
          <w:highlight w:val="none"/>
          <w:u w:val="single"/>
        </w:rPr>
        <w:tab/>
      </w:r>
    </w:p>
    <w:p>
      <w:pPr>
        <w:pStyle w:val="19"/>
        <w:tabs>
          <w:tab w:val="left" w:pos="4370"/>
        </w:tabs>
        <w:spacing w:before="139"/>
        <w:rPr>
          <w:color w:val="auto"/>
          <w:highlight w:val="none"/>
        </w:rPr>
      </w:pPr>
      <w:r>
        <w:rPr>
          <w:color w:val="auto"/>
          <w:highlight w:val="none"/>
        </w:rPr>
        <w:t>（3）长期债务：</w:t>
      </w:r>
      <w:r>
        <w:rPr>
          <w:rFonts w:asciiTheme="minorEastAsia" w:hAnsiTheme="minorEastAsia" w:eastAsiaTheme="minorEastAsia"/>
          <w:color w:val="auto"/>
          <w:highlight w:val="none"/>
          <w:u w:val="single"/>
        </w:rPr>
        <w:tab/>
      </w:r>
      <w:r>
        <w:rPr>
          <w:color w:val="auto"/>
          <w:highlight w:val="none"/>
        </w:rPr>
        <w:t xml:space="preserve"> </w:t>
      </w:r>
      <w:r>
        <w:rPr>
          <w:color w:val="auto"/>
          <w:highlight w:val="none"/>
        </w:rPr>
        <w:tab/>
      </w:r>
    </w:p>
    <w:p>
      <w:pPr>
        <w:pStyle w:val="19"/>
        <w:tabs>
          <w:tab w:val="left" w:pos="4370"/>
        </w:tabs>
        <w:spacing w:before="139"/>
        <w:rPr>
          <w:rFonts w:asciiTheme="minorEastAsia" w:hAnsiTheme="minorEastAsia" w:eastAsiaTheme="minorEastAsia"/>
          <w:color w:val="auto"/>
          <w:highlight w:val="none"/>
        </w:rPr>
      </w:pPr>
      <w:r>
        <w:rPr>
          <w:color w:val="auto"/>
          <w:highlight w:val="none"/>
        </w:rPr>
        <w:t>（4）流动债务：</w:t>
      </w:r>
      <w:r>
        <w:rPr>
          <w:rFonts w:asciiTheme="minorEastAsia" w:hAnsiTheme="minorEastAsia" w:eastAsiaTheme="minorEastAsia"/>
          <w:color w:val="auto"/>
          <w:w w:val="95"/>
          <w:highlight w:val="none"/>
          <w:u w:val="single"/>
        </w:rPr>
        <w:t xml:space="preserve"> </w:t>
      </w:r>
      <w:r>
        <w:rPr>
          <w:rFonts w:asciiTheme="minorEastAsia" w:hAnsiTheme="minorEastAsia" w:eastAsiaTheme="minorEastAsia"/>
          <w:color w:val="auto"/>
          <w:highlight w:val="none"/>
          <w:u w:val="single"/>
        </w:rPr>
        <w:tab/>
      </w:r>
    </w:p>
    <w:p>
      <w:pPr>
        <w:pStyle w:val="19"/>
        <w:tabs>
          <w:tab w:val="left" w:pos="4370"/>
        </w:tabs>
        <w:spacing w:before="139"/>
        <w:rPr>
          <w:rFonts w:asciiTheme="minorEastAsia" w:hAnsiTheme="minorEastAsia" w:eastAsiaTheme="minorEastAsia"/>
          <w:color w:val="auto"/>
          <w:highlight w:val="none"/>
        </w:rPr>
      </w:pPr>
      <w:r>
        <w:rPr>
          <w:color w:val="auto"/>
          <w:highlight w:val="none"/>
        </w:rPr>
        <w:t>（5）净</w:t>
      </w:r>
      <w:r>
        <w:rPr>
          <w:rFonts w:hint="eastAsia"/>
          <w:color w:val="auto"/>
          <w:highlight w:val="none"/>
        </w:rPr>
        <w:t xml:space="preserve"> </w:t>
      </w:r>
      <w:r>
        <w:rPr>
          <w:color w:val="auto"/>
          <w:highlight w:val="none"/>
        </w:rPr>
        <w:t xml:space="preserve">   值：</w:t>
      </w:r>
      <w:r>
        <w:rPr>
          <w:rFonts w:asciiTheme="minorEastAsia" w:hAnsiTheme="minorEastAsia" w:eastAsiaTheme="minorEastAsia"/>
          <w:color w:val="auto"/>
          <w:w w:val="95"/>
          <w:highlight w:val="none"/>
          <w:u w:val="single"/>
        </w:rPr>
        <w:t xml:space="preserve"> </w:t>
      </w:r>
      <w:r>
        <w:rPr>
          <w:rFonts w:asciiTheme="minorEastAsia" w:hAnsiTheme="minorEastAsia" w:eastAsiaTheme="minorEastAsia"/>
          <w:color w:val="auto"/>
          <w:highlight w:val="none"/>
          <w:u w:val="single"/>
        </w:rPr>
        <w:tab/>
      </w:r>
    </w:p>
    <w:p>
      <w:pPr>
        <w:pStyle w:val="19"/>
        <w:spacing w:before="70" w:after="31"/>
        <w:rPr>
          <w:color w:val="auto"/>
          <w:highlight w:val="none"/>
        </w:rPr>
      </w:pPr>
      <w:r>
        <w:rPr>
          <w:color w:val="auto"/>
          <w:highlight w:val="none"/>
        </w:rPr>
        <w:t>2．近三年的年营业总额：</w:t>
      </w:r>
    </w:p>
    <w:tbl>
      <w:tblPr>
        <w:tblStyle w:val="71"/>
        <w:tblW w:w="0" w:type="auto"/>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30" w:type="dxa"/>
          </w:tcPr>
          <w:p>
            <w:pPr>
              <w:pStyle w:val="73"/>
              <w:widowControl w:val="0"/>
              <w:spacing w:line="252" w:lineRule="exact"/>
              <w:jc w:val="center"/>
              <w:rPr>
                <w:color w:val="auto"/>
                <w:highlight w:val="none"/>
              </w:rPr>
            </w:pPr>
            <w:r>
              <w:rPr>
                <w:color w:val="auto"/>
                <w:highlight w:val="none"/>
              </w:rPr>
              <w:t>年度</w:t>
            </w:r>
          </w:p>
        </w:tc>
        <w:tc>
          <w:tcPr>
            <w:tcW w:w="2130" w:type="dxa"/>
          </w:tcPr>
          <w:p>
            <w:pPr>
              <w:pStyle w:val="73"/>
              <w:widowControl w:val="0"/>
              <w:spacing w:line="252" w:lineRule="exact"/>
              <w:jc w:val="center"/>
              <w:rPr>
                <w:color w:val="auto"/>
                <w:highlight w:val="none"/>
              </w:rPr>
            </w:pPr>
            <w:r>
              <w:rPr>
                <w:color w:val="auto"/>
                <w:highlight w:val="none"/>
              </w:rPr>
              <w:t>国内</w:t>
            </w:r>
          </w:p>
        </w:tc>
        <w:tc>
          <w:tcPr>
            <w:tcW w:w="2131" w:type="dxa"/>
          </w:tcPr>
          <w:p>
            <w:pPr>
              <w:pStyle w:val="73"/>
              <w:widowControl w:val="0"/>
              <w:spacing w:line="252" w:lineRule="exact"/>
              <w:jc w:val="center"/>
              <w:rPr>
                <w:color w:val="auto"/>
                <w:highlight w:val="none"/>
              </w:rPr>
            </w:pPr>
            <w:r>
              <w:rPr>
                <w:color w:val="auto"/>
                <w:highlight w:val="none"/>
              </w:rPr>
              <w:t>出口</w:t>
            </w:r>
          </w:p>
        </w:tc>
        <w:tc>
          <w:tcPr>
            <w:tcW w:w="2131" w:type="dxa"/>
          </w:tcPr>
          <w:p>
            <w:pPr>
              <w:pStyle w:val="73"/>
              <w:widowControl w:val="0"/>
              <w:spacing w:line="252" w:lineRule="exact"/>
              <w:jc w:val="center"/>
              <w:rPr>
                <w:color w:val="auto"/>
                <w:highlight w:val="none"/>
              </w:rPr>
            </w:pPr>
            <w:r>
              <w:rPr>
                <w:color w:val="auto"/>
                <w:highlight w:val="none"/>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130" w:type="dxa"/>
          </w:tcPr>
          <w:p>
            <w:pPr>
              <w:pStyle w:val="73"/>
              <w:widowControl w:val="0"/>
              <w:rPr>
                <w:rFonts w:ascii="Times New Roman"/>
                <w:color w:val="auto"/>
                <w:sz w:val="20"/>
                <w:highlight w:val="none"/>
              </w:rPr>
            </w:pPr>
          </w:p>
        </w:tc>
        <w:tc>
          <w:tcPr>
            <w:tcW w:w="2130" w:type="dxa"/>
          </w:tcPr>
          <w:p>
            <w:pPr>
              <w:pStyle w:val="73"/>
              <w:widowControl w:val="0"/>
              <w:rPr>
                <w:rFonts w:ascii="Times New Roman"/>
                <w:color w:val="auto"/>
                <w:sz w:val="20"/>
                <w:highlight w:val="none"/>
              </w:rPr>
            </w:pPr>
          </w:p>
        </w:tc>
        <w:tc>
          <w:tcPr>
            <w:tcW w:w="2131" w:type="dxa"/>
          </w:tcPr>
          <w:p>
            <w:pPr>
              <w:pStyle w:val="73"/>
              <w:widowControl w:val="0"/>
              <w:rPr>
                <w:rFonts w:ascii="Times New Roman"/>
                <w:color w:val="auto"/>
                <w:sz w:val="20"/>
                <w:highlight w:val="none"/>
              </w:rPr>
            </w:pPr>
          </w:p>
        </w:tc>
        <w:tc>
          <w:tcPr>
            <w:tcW w:w="2131" w:type="dxa"/>
          </w:tcPr>
          <w:p>
            <w:pPr>
              <w:pStyle w:val="73"/>
              <w:widowControl w:val="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30" w:type="dxa"/>
          </w:tcPr>
          <w:p>
            <w:pPr>
              <w:pStyle w:val="73"/>
              <w:widowControl w:val="0"/>
              <w:rPr>
                <w:rFonts w:ascii="Times New Roman"/>
                <w:color w:val="auto"/>
                <w:sz w:val="20"/>
                <w:highlight w:val="none"/>
              </w:rPr>
            </w:pPr>
          </w:p>
        </w:tc>
        <w:tc>
          <w:tcPr>
            <w:tcW w:w="2130" w:type="dxa"/>
          </w:tcPr>
          <w:p>
            <w:pPr>
              <w:pStyle w:val="73"/>
              <w:widowControl w:val="0"/>
              <w:rPr>
                <w:rFonts w:ascii="Times New Roman"/>
                <w:color w:val="auto"/>
                <w:sz w:val="20"/>
                <w:highlight w:val="none"/>
              </w:rPr>
            </w:pPr>
          </w:p>
        </w:tc>
        <w:tc>
          <w:tcPr>
            <w:tcW w:w="2131" w:type="dxa"/>
          </w:tcPr>
          <w:p>
            <w:pPr>
              <w:pStyle w:val="73"/>
              <w:widowControl w:val="0"/>
              <w:rPr>
                <w:rFonts w:ascii="Times New Roman"/>
                <w:color w:val="auto"/>
                <w:sz w:val="20"/>
                <w:highlight w:val="none"/>
              </w:rPr>
            </w:pPr>
          </w:p>
        </w:tc>
        <w:tc>
          <w:tcPr>
            <w:tcW w:w="2131" w:type="dxa"/>
          </w:tcPr>
          <w:p>
            <w:pPr>
              <w:pStyle w:val="73"/>
              <w:widowControl w:val="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130" w:type="dxa"/>
          </w:tcPr>
          <w:p>
            <w:pPr>
              <w:pStyle w:val="73"/>
              <w:widowControl w:val="0"/>
              <w:rPr>
                <w:rFonts w:ascii="Times New Roman"/>
                <w:color w:val="auto"/>
                <w:sz w:val="20"/>
                <w:highlight w:val="none"/>
              </w:rPr>
            </w:pPr>
          </w:p>
        </w:tc>
        <w:tc>
          <w:tcPr>
            <w:tcW w:w="2130" w:type="dxa"/>
          </w:tcPr>
          <w:p>
            <w:pPr>
              <w:pStyle w:val="73"/>
              <w:widowControl w:val="0"/>
              <w:rPr>
                <w:rFonts w:ascii="Times New Roman"/>
                <w:color w:val="auto"/>
                <w:sz w:val="20"/>
                <w:highlight w:val="none"/>
              </w:rPr>
            </w:pPr>
          </w:p>
        </w:tc>
        <w:tc>
          <w:tcPr>
            <w:tcW w:w="2131" w:type="dxa"/>
          </w:tcPr>
          <w:p>
            <w:pPr>
              <w:pStyle w:val="73"/>
              <w:widowControl w:val="0"/>
              <w:rPr>
                <w:rFonts w:ascii="Times New Roman"/>
                <w:color w:val="auto"/>
                <w:sz w:val="20"/>
                <w:highlight w:val="none"/>
              </w:rPr>
            </w:pPr>
          </w:p>
        </w:tc>
        <w:tc>
          <w:tcPr>
            <w:tcW w:w="2131" w:type="dxa"/>
          </w:tcPr>
          <w:p>
            <w:pPr>
              <w:pStyle w:val="73"/>
              <w:widowControl w:val="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30" w:type="dxa"/>
          </w:tcPr>
          <w:p>
            <w:pPr>
              <w:pStyle w:val="73"/>
              <w:widowControl w:val="0"/>
              <w:rPr>
                <w:rFonts w:ascii="Times New Roman"/>
                <w:color w:val="auto"/>
                <w:sz w:val="20"/>
                <w:highlight w:val="none"/>
              </w:rPr>
            </w:pPr>
          </w:p>
        </w:tc>
        <w:tc>
          <w:tcPr>
            <w:tcW w:w="2130" w:type="dxa"/>
          </w:tcPr>
          <w:p>
            <w:pPr>
              <w:pStyle w:val="73"/>
              <w:widowControl w:val="0"/>
              <w:rPr>
                <w:rFonts w:ascii="Times New Roman"/>
                <w:color w:val="auto"/>
                <w:sz w:val="20"/>
                <w:highlight w:val="none"/>
              </w:rPr>
            </w:pPr>
          </w:p>
        </w:tc>
        <w:tc>
          <w:tcPr>
            <w:tcW w:w="2131" w:type="dxa"/>
          </w:tcPr>
          <w:p>
            <w:pPr>
              <w:pStyle w:val="73"/>
              <w:widowControl w:val="0"/>
              <w:rPr>
                <w:rFonts w:ascii="Times New Roman"/>
                <w:color w:val="auto"/>
                <w:sz w:val="20"/>
                <w:highlight w:val="none"/>
              </w:rPr>
            </w:pPr>
          </w:p>
        </w:tc>
        <w:tc>
          <w:tcPr>
            <w:tcW w:w="2131" w:type="dxa"/>
          </w:tcPr>
          <w:p>
            <w:pPr>
              <w:pStyle w:val="73"/>
              <w:widowControl w:val="0"/>
              <w:rPr>
                <w:rFonts w:ascii="Times New Roman"/>
                <w:color w:val="auto"/>
                <w:sz w:val="20"/>
                <w:highlight w:val="none"/>
              </w:rPr>
            </w:pPr>
          </w:p>
        </w:tc>
      </w:tr>
    </w:tbl>
    <w:p>
      <w:pPr>
        <w:pStyle w:val="19"/>
        <w:spacing w:before="141" w:after="30"/>
        <w:rPr>
          <w:color w:val="auto"/>
          <w:highlight w:val="none"/>
        </w:rPr>
      </w:pPr>
      <w:r>
        <w:rPr>
          <w:color w:val="auto"/>
          <w:highlight w:val="none"/>
        </w:rPr>
        <w:t>3．同意为</w:t>
      </w:r>
      <w:r>
        <w:rPr>
          <w:rFonts w:hint="eastAsia"/>
          <w:color w:val="auto"/>
          <w:highlight w:val="none"/>
        </w:rPr>
        <w:t>比选</w:t>
      </w:r>
      <w:r>
        <w:rPr>
          <w:color w:val="auto"/>
          <w:highlight w:val="none"/>
        </w:rPr>
        <w:t>人制造</w:t>
      </w:r>
      <w:r>
        <w:rPr>
          <w:rFonts w:hint="eastAsia"/>
          <w:color w:val="auto"/>
          <w:highlight w:val="none"/>
        </w:rPr>
        <w:t>设备</w:t>
      </w:r>
      <w:r>
        <w:rPr>
          <w:color w:val="auto"/>
          <w:highlight w:val="none"/>
        </w:rPr>
        <w:t>（并附制造商的资格声明）的制造商：</w:t>
      </w:r>
    </w:p>
    <w:tbl>
      <w:tblPr>
        <w:tblStyle w:val="71"/>
        <w:tblW w:w="0" w:type="auto"/>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261" w:type="dxa"/>
          </w:tcPr>
          <w:p>
            <w:pPr>
              <w:pStyle w:val="73"/>
              <w:widowControl w:val="0"/>
              <w:spacing w:before="1" w:line="252" w:lineRule="exact"/>
              <w:jc w:val="center"/>
              <w:rPr>
                <w:color w:val="auto"/>
                <w:highlight w:val="none"/>
              </w:rPr>
            </w:pPr>
            <w:r>
              <w:rPr>
                <w:color w:val="auto"/>
                <w:highlight w:val="none"/>
              </w:rPr>
              <w:t>制造商名称和地址</w:t>
            </w:r>
          </w:p>
        </w:tc>
        <w:tc>
          <w:tcPr>
            <w:tcW w:w="4261" w:type="dxa"/>
          </w:tcPr>
          <w:p>
            <w:pPr>
              <w:pStyle w:val="73"/>
              <w:widowControl w:val="0"/>
              <w:spacing w:before="1" w:line="252" w:lineRule="exact"/>
              <w:jc w:val="center"/>
              <w:rPr>
                <w:color w:val="auto"/>
                <w:highlight w:val="none"/>
              </w:rPr>
            </w:pPr>
            <w:r>
              <w:rPr>
                <w:rFonts w:hint="eastAsia"/>
                <w:color w:val="auto"/>
                <w:highlight w:val="none"/>
                <w:lang w:eastAsia="zh-CN"/>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261" w:type="dxa"/>
          </w:tcPr>
          <w:p>
            <w:pPr>
              <w:pStyle w:val="73"/>
              <w:widowControl w:val="0"/>
              <w:rPr>
                <w:rFonts w:ascii="Times New Roman"/>
                <w:color w:val="auto"/>
                <w:sz w:val="20"/>
                <w:highlight w:val="none"/>
              </w:rPr>
            </w:pPr>
          </w:p>
        </w:tc>
        <w:tc>
          <w:tcPr>
            <w:tcW w:w="4261" w:type="dxa"/>
          </w:tcPr>
          <w:p>
            <w:pPr>
              <w:pStyle w:val="73"/>
              <w:widowControl w:val="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261" w:type="dxa"/>
          </w:tcPr>
          <w:p>
            <w:pPr>
              <w:pStyle w:val="73"/>
              <w:widowControl w:val="0"/>
              <w:rPr>
                <w:rFonts w:ascii="Times New Roman"/>
                <w:color w:val="auto"/>
                <w:sz w:val="20"/>
                <w:highlight w:val="none"/>
              </w:rPr>
            </w:pPr>
          </w:p>
        </w:tc>
        <w:tc>
          <w:tcPr>
            <w:tcW w:w="4261" w:type="dxa"/>
          </w:tcPr>
          <w:p>
            <w:pPr>
              <w:pStyle w:val="73"/>
              <w:widowControl w:val="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261" w:type="dxa"/>
          </w:tcPr>
          <w:p>
            <w:pPr>
              <w:pStyle w:val="73"/>
              <w:widowControl w:val="0"/>
              <w:rPr>
                <w:rFonts w:ascii="Times New Roman"/>
                <w:color w:val="auto"/>
                <w:sz w:val="20"/>
                <w:highlight w:val="none"/>
              </w:rPr>
            </w:pPr>
          </w:p>
        </w:tc>
        <w:tc>
          <w:tcPr>
            <w:tcW w:w="4261" w:type="dxa"/>
          </w:tcPr>
          <w:p>
            <w:pPr>
              <w:pStyle w:val="73"/>
              <w:widowControl w:val="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4261" w:type="dxa"/>
          </w:tcPr>
          <w:p>
            <w:pPr>
              <w:pStyle w:val="73"/>
              <w:widowControl w:val="0"/>
              <w:rPr>
                <w:rFonts w:ascii="Times New Roman"/>
                <w:color w:val="auto"/>
                <w:sz w:val="20"/>
                <w:highlight w:val="none"/>
              </w:rPr>
            </w:pPr>
          </w:p>
        </w:tc>
        <w:tc>
          <w:tcPr>
            <w:tcW w:w="4261" w:type="dxa"/>
          </w:tcPr>
          <w:p>
            <w:pPr>
              <w:pStyle w:val="73"/>
              <w:widowControl w:val="0"/>
              <w:rPr>
                <w:rFonts w:ascii="Times New Roman"/>
                <w:color w:val="auto"/>
                <w:sz w:val="20"/>
                <w:highlight w:val="none"/>
              </w:rPr>
            </w:pPr>
          </w:p>
        </w:tc>
      </w:tr>
    </w:tbl>
    <w:p>
      <w:pPr>
        <w:pStyle w:val="19"/>
        <w:tabs>
          <w:tab w:val="left" w:pos="6835"/>
        </w:tabs>
        <w:spacing w:before="1" w:line="364" w:lineRule="auto"/>
        <w:ind w:right="3749" w:hanging="315"/>
        <w:rPr>
          <w:rFonts w:asciiTheme="minorEastAsia" w:hAnsiTheme="minorEastAsia" w:eastAsiaTheme="minorEastAsia"/>
          <w:color w:val="auto"/>
          <w:spacing w:val="-4"/>
          <w:highlight w:val="none"/>
        </w:rPr>
      </w:pPr>
    </w:p>
    <w:p>
      <w:pPr>
        <w:pStyle w:val="19"/>
        <w:numPr>
          <w:ilvl w:val="0"/>
          <w:numId w:val="5"/>
        </w:numPr>
        <w:tabs>
          <w:tab w:val="left" w:pos="6835"/>
        </w:tabs>
        <w:adjustRightInd w:val="0"/>
        <w:snapToGrid w:val="0"/>
        <w:spacing w:after="0"/>
        <w:rPr>
          <w:rFonts w:asciiTheme="minorEastAsia" w:hAnsiTheme="minorEastAsia" w:eastAsiaTheme="minorEastAsia"/>
          <w:color w:val="auto"/>
          <w:w w:val="95"/>
          <w:highlight w:val="none"/>
          <w:u w:val="single"/>
        </w:rPr>
      </w:pPr>
      <w:r>
        <w:rPr>
          <w:rFonts w:asciiTheme="minorEastAsia" w:hAnsiTheme="minorEastAsia" w:eastAsiaTheme="minorEastAsia"/>
          <w:color w:val="auto"/>
          <w:spacing w:val="-4"/>
          <w:highlight w:val="none"/>
        </w:rPr>
        <w:t>开户银行的名称：</w:t>
      </w:r>
      <w:r>
        <w:rPr>
          <w:rFonts w:asciiTheme="minorEastAsia" w:hAnsiTheme="minorEastAsia" w:eastAsiaTheme="minorEastAsia"/>
          <w:color w:val="auto"/>
          <w:w w:val="95"/>
          <w:highlight w:val="none"/>
          <w:u w:val="single"/>
        </w:rPr>
        <w:t xml:space="preserve">            </w:t>
      </w:r>
      <w:r>
        <w:rPr>
          <w:rFonts w:hint="eastAsia" w:asciiTheme="minorEastAsia" w:hAnsiTheme="minorEastAsia" w:eastAsiaTheme="minorEastAsia"/>
          <w:color w:val="auto"/>
          <w:w w:val="95"/>
          <w:highlight w:val="none"/>
          <w:u w:val="single"/>
        </w:rPr>
        <w:t xml:space="preserve">   </w:t>
      </w:r>
      <w:r>
        <w:rPr>
          <w:rFonts w:asciiTheme="minorEastAsia" w:hAnsiTheme="minorEastAsia" w:eastAsiaTheme="minorEastAsia"/>
          <w:color w:val="auto"/>
          <w:w w:val="95"/>
          <w:highlight w:val="none"/>
          <w:u w:val="single"/>
        </w:rPr>
        <w:t xml:space="preserve">                   </w:t>
      </w:r>
    </w:p>
    <w:p>
      <w:pPr>
        <w:pStyle w:val="19"/>
        <w:tabs>
          <w:tab w:val="left" w:pos="6835"/>
        </w:tabs>
        <w:adjustRightInd w:val="0"/>
        <w:snapToGrid w:val="0"/>
        <w:spacing w:after="0"/>
        <w:ind w:firstLine="404" w:firstLineChars="200"/>
        <w:rPr>
          <w:rFonts w:asciiTheme="minorEastAsia" w:hAnsiTheme="minorEastAsia" w:eastAsiaTheme="minorEastAsia"/>
          <w:color w:val="auto"/>
          <w:highlight w:val="none"/>
          <w:u w:val="single"/>
        </w:rPr>
      </w:pPr>
      <w:r>
        <w:rPr>
          <w:rFonts w:asciiTheme="minorEastAsia" w:hAnsiTheme="minorEastAsia" w:eastAsiaTheme="minorEastAsia"/>
          <w:color w:val="auto"/>
          <w:spacing w:val="-4"/>
          <w:highlight w:val="none"/>
        </w:rPr>
        <w:t>开户银行的地址：</w:t>
      </w:r>
      <w:r>
        <w:rPr>
          <w:rFonts w:hint="eastAsia" w:asciiTheme="minorEastAsia" w:hAnsiTheme="minorEastAsia" w:eastAsiaTheme="minorEastAsia"/>
          <w:color w:val="auto"/>
          <w:spacing w:val="-4"/>
          <w:highlight w:val="none"/>
          <w:u w:val="single"/>
        </w:rPr>
        <w:t xml:space="preserve">                                   </w:t>
      </w:r>
    </w:p>
    <w:p>
      <w:pPr>
        <w:pStyle w:val="19"/>
        <w:adjustRightInd w:val="0"/>
        <w:snapToGrid w:val="0"/>
        <w:spacing w:after="0"/>
        <w:ind w:firstLine="404" w:firstLineChars="200"/>
        <w:rPr>
          <w:color w:val="auto"/>
          <w:spacing w:val="-4"/>
          <w:highlight w:val="none"/>
        </w:rPr>
      </w:pPr>
    </w:p>
    <w:p>
      <w:pPr>
        <w:pStyle w:val="19"/>
        <w:adjustRightInd w:val="0"/>
        <w:snapToGrid w:val="0"/>
        <w:spacing w:after="0"/>
        <w:ind w:firstLine="404" w:firstLineChars="200"/>
        <w:rPr>
          <w:color w:val="auto"/>
          <w:spacing w:val="-4"/>
          <w:highlight w:val="none"/>
        </w:rPr>
      </w:pPr>
      <w:r>
        <w:rPr>
          <w:color w:val="auto"/>
          <w:spacing w:val="-4"/>
          <w:highlight w:val="none"/>
        </w:rPr>
        <w:t>就我方全部所知，兹证明上述声明是真实、正确的，已提供的全部资料和数据有效。我方同意根据</w:t>
      </w:r>
      <w:r>
        <w:rPr>
          <w:rFonts w:hint="eastAsia"/>
          <w:color w:val="auto"/>
          <w:spacing w:val="-4"/>
          <w:highlight w:val="none"/>
        </w:rPr>
        <w:t>比选</w:t>
      </w:r>
      <w:r>
        <w:rPr>
          <w:color w:val="auto"/>
          <w:spacing w:val="-4"/>
          <w:highlight w:val="none"/>
        </w:rPr>
        <w:t>人要求出示文件予以证实。</w:t>
      </w:r>
    </w:p>
    <w:p>
      <w:pPr>
        <w:pStyle w:val="19"/>
        <w:adjustRightInd w:val="0"/>
        <w:snapToGrid w:val="0"/>
        <w:spacing w:after="0"/>
        <w:ind w:firstLine="404" w:firstLineChars="200"/>
        <w:rPr>
          <w:color w:val="auto"/>
          <w:spacing w:val="-4"/>
          <w:highlight w:val="none"/>
        </w:rPr>
      </w:pPr>
    </w:p>
    <w:p>
      <w:pPr>
        <w:pStyle w:val="19"/>
        <w:adjustRightInd w:val="0"/>
        <w:snapToGrid w:val="0"/>
        <w:spacing w:after="0"/>
        <w:ind w:firstLine="420"/>
        <w:rPr>
          <w:color w:val="auto"/>
          <w:highlight w:val="none"/>
        </w:rPr>
      </w:pPr>
      <w:r>
        <w:rPr>
          <w:color w:val="auto"/>
          <w:highlight w:val="none"/>
        </w:rPr>
        <w:t>代理商名称：</w:t>
      </w:r>
      <w:r>
        <w:rPr>
          <w:rFonts w:asciiTheme="minorEastAsia" w:hAnsiTheme="minorEastAsia" w:eastAsiaTheme="minorEastAsia"/>
          <w:color w:val="auto"/>
          <w:spacing w:val="-4"/>
          <w:highlight w:val="none"/>
          <w:u w:val="single"/>
        </w:rPr>
        <w:t xml:space="preserve">（盖单位章）     </w:t>
      </w:r>
      <w:r>
        <w:rPr>
          <w:rFonts w:hint="eastAsia" w:asciiTheme="minorEastAsia" w:hAnsiTheme="minorEastAsia" w:eastAsiaTheme="minorEastAsia"/>
          <w:color w:val="auto"/>
          <w:spacing w:val="-4"/>
          <w:highlight w:val="none"/>
          <w:u w:val="single"/>
        </w:rPr>
        <w:t xml:space="preserve"> </w:t>
      </w:r>
      <w:r>
        <w:rPr>
          <w:rFonts w:asciiTheme="minorEastAsia" w:hAnsiTheme="minorEastAsia" w:eastAsiaTheme="minorEastAsia"/>
          <w:color w:val="auto"/>
          <w:spacing w:val="-4"/>
          <w:highlight w:val="none"/>
          <w:u w:val="single"/>
        </w:rPr>
        <w:t xml:space="preserve">        </w:t>
      </w:r>
      <w:r>
        <w:rPr>
          <w:rFonts w:asciiTheme="minorEastAsia" w:hAnsiTheme="minorEastAsia" w:eastAsiaTheme="minorEastAsia"/>
          <w:color w:val="auto"/>
          <w:w w:val="95"/>
          <w:highlight w:val="none"/>
          <w:u w:val="single"/>
        </w:rPr>
        <w:tab/>
      </w:r>
    </w:p>
    <w:p>
      <w:pPr>
        <w:pStyle w:val="19"/>
        <w:adjustRightInd w:val="0"/>
        <w:snapToGrid w:val="0"/>
        <w:spacing w:after="0"/>
        <w:rPr>
          <w:color w:val="auto"/>
          <w:sz w:val="7"/>
          <w:highlight w:val="none"/>
        </w:rPr>
      </w:pPr>
    </w:p>
    <w:p>
      <w:pPr>
        <w:pStyle w:val="19"/>
        <w:adjustRightInd w:val="0"/>
        <w:snapToGrid w:val="0"/>
        <w:spacing w:after="0"/>
        <w:ind w:firstLine="420"/>
        <w:rPr>
          <w:color w:val="auto"/>
          <w:highlight w:val="none"/>
        </w:rPr>
      </w:pPr>
      <w:r>
        <w:rPr>
          <w:color w:val="auto"/>
          <w:highlight w:val="none"/>
        </w:rPr>
        <w:t>法定代表人或</w:t>
      </w:r>
    </w:p>
    <w:p>
      <w:pPr>
        <w:pStyle w:val="19"/>
        <w:adjustRightInd w:val="0"/>
        <w:snapToGrid w:val="0"/>
        <w:spacing w:after="0"/>
        <w:ind w:firstLine="420"/>
        <w:rPr>
          <w:color w:val="auto"/>
          <w:highlight w:val="none"/>
        </w:rPr>
      </w:pPr>
      <w:r>
        <w:rPr>
          <w:color w:val="auto"/>
          <w:highlight w:val="none"/>
        </w:rPr>
        <w:t>委托代理人：</w:t>
      </w:r>
      <w:r>
        <w:rPr>
          <w:color w:val="auto"/>
          <w:highlight w:val="none"/>
          <w:u w:val="single"/>
        </w:rPr>
        <w:t xml:space="preserve">（职务）          </w:t>
      </w:r>
      <w:r>
        <w:rPr>
          <w:rFonts w:hint="eastAsia"/>
          <w:color w:val="auto"/>
          <w:highlight w:val="none"/>
          <w:u w:val="single"/>
        </w:rPr>
        <w:t xml:space="preserve">   </w:t>
      </w:r>
      <w:r>
        <w:rPr>
          <w:color w:val="auto"/>
          <w:highlight w:val="none"/>
          <w:u w:val="single"/>
        </w:rPr>
        <w:t xml:space="preserve">   </w:t>
      </w:r>
      <w:r>
        <w:rPr>
          <w:color w:val="auto"/>
          <w:highlight w:val="none"/>
          <w:u w:val="single"/>
        </w:rPr>
        <w:tab/>
      </w:r>
    </w:p>
    <w:p>
      <w:pPr>
        <w:pStyle w:val="19"/>
        <w:adjustRightInd w:val="0"/>
        <w:snapToGrid w:val="0"/>
        <w:spacing w:after="0"/>
        <w:rPr>
          <w:color w:val="auto"/>
          <w:sz w:val="8"/>
          <w:highlight w:val="none"/>
        </w:rPr>
      </w:pPr>
    </w:p>
    <w:p>
      <w:pPr>
        <w:pStyle w:val="19"/>
        <w:adjustRightInd w:val="0"/>
        <w:snapToGrid w:val="0"/>
        <w:spacing w:after="0"/>
        <w:ind w:firstLine="420"/>
        <w:rPr>
          <w:color w:val="auto"/>
          <w:highlight w:val="none"/>
          <w:u w:val="single"/>
        </w:rPr>
      </w:pPr>
      <w:r>
        <w:rPr>
          <w:color w:val="auto"/>
          <w:highlight w:val="none"/>
          <w:u w:val="single"/>
        </w:rPr>
        <w:t>（签字）</w:t>
      </w:r>
      <w:r>
        <w:rPr>
          <w:color w:val="auto"/>
          <w:highlight w:val="none"/>
          <w:u w:val="single"/>
        </w:rPr>
        <w:tab/>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pStyle w:val="19"/>
        <w:tabs>
          <w:tab w:val="left" w:pos="6261"/>
          <w:tab w:val="left" w:pos="6890"/>
          <w:tab w:val="left" w:pos="7521"/>
        </w:tabs>
        <w:adjustRightInd w:val="0"/>
        <w:snapToGrid w:val="0"/>
        <w:spacing w:after="0"/>
        <w:rPr>
          <w:color w:val="auto"/>
          <w:highlight w:val="none"/>
        </w:rPr>
      </w:pPr>
    </w:p>
    <w:p>
      <w:pPr>
        <w:pStyle w:val="19"/>
        <w:tabs>
          <w:tab w:val="left" w:pos="6261"/>
          <w:tab w:val="left" w:pos="6890"/>
          <w:tab w:val="left" w:pos="7521"/>
        </w:tabs>
        <w:adjustRightInd w:val="0"/>
        <w:snapToGrid w:val="0"/>
        <w:spacing w:after="0"/>
        <w:rPr>
          <w:color w:val="auto"/>
          <w:highlight w:val="none"/>
          <w:u w:val="singl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19"/>
        <w:adjustRightInd w:val="0"/>
        <w:snapToGrid w:val="0"/>
        <w:spacing w:after="0"/>
        <w:rPr>
          <w:color w:val="auto"/>
          <w:highlight w:val="none"/>
        </w:rPr>
      </w:pPr>
    </w:p>
    <w:p>
      <w:pPr>
        <w:pStyle w:val="19"/>
        <w:adjustRightInd w:val="0"/>
        <w:snapToGrid w:val="0"/>
        <w:spacing w:after="0"/>
        <w:ind w:firstLine="420"/>
        <w:rPr>
          <w:color w:val="auto"/>
          <w:highlight w:val="none"/>
        </w:rPr>
      </w:pPr>
      <w:r>
        <w:rPr>
          <w:color w:val="auto"/>
          <w:highlight w:val="none"/>
        </w:rPr>
        <w:t>注：</w:t>
      </w:r>
      <w:r>
        <w:rPr>
          <w:rFonts w:hint="eastAsia"/>
          <w:color w:val="auto"/>
          <w:highlight w:val="none"/>
        </w:rPr>
        <w:t>申请</w:t>
      </w:r>
      <w:r>
        <w:rPr>
          <w:color w:val="auto"/>
          <w:highlight w:val="none"/>
        </w:rPr>
        <w:t>人为代理商时提供本声明。</w:t>
      </w:r>
    </w:p>
    <w:p>
      <w:pPr>
        <w:spacing w:line="240" w:lineRule="auto"/>
        <w:rPr>
          <w:color w:val="auto"/>
          <w:highlight w:val="none"/>
        </w:rPr>
      </w:pPr>
      <w:r>
        <w:rPr>
          <w:color w:val="auto"/>
          <w:highlight w:val="none"/>
        </w:rPr>
        <w:br w:type="page"/>
      </w:r>
    </w:p>
    <w:p>
      <w:pPr>
        <w:pStyle w:val="19"/>
        <w:adjustRightInd w:val="0"/>
        <w:snapToGrid w:val="0"/>
        <w:spacing w:after="0"/>
        <w:ind w:firstLine="420"/>
        <w:rPr>
          <w:color w:val="auto"/>
          <w:highlight w:val="none"/>
        </w:rPr>
        <w:sectPr>
          <w:footerReference r:id="rId6" w:type="default"/>
          <w:type w:val="continuous"/>
          <w:pgSz w:w="11910" w:h="16840"/>
          <w:pgMar w:top="1360" w:right="1350" w:bottom="1180" w:left="1320" w:header="0" w:footer="990" w:gutter="0"/>
          <w:cols w:space="720" w:num="1"/>
        </w:sectPr>
      </w:pPr>
    </w:p>
    <w:p>
      <w:pPr>
        <w:adjustRightInd w:val="0"/>
        <w:snapToGrid w:val="0"/>
        <w:jc w:val="center"/>
        <w:rPr>
          <w:rFonts w:ascii="宋体" w:hAnsi="宋体" w:cs="宋体"/>
          <w:b/>
          <w:color w:val="auto"/>
          <w:sz w:val="28"/>
          <w:highlight w:val="none"/>
        </w:rPr>
      </w:pPr>
      <w:r>
        <w:rPr>
          <w:rFonts w:hint="eastAsia" w:ascii="宋体" w:hAnsi="宋体" w:cs="宋体"/>
          <w:b/>
          <w:color w:val="auto"/>
          <w:sz w:val="28"/>
          <w:highlight w:val="none"/>
        </w:rPr>
        <w:t>附表3、制造商出具的授权书（仅限代理商）</w:t>
      </w:r>
    </w:p>
    <w:p>
      <w:pPr>
        <w:pStyle w:val="19"/>
        <w:spacing w:before="1"/>
        <w:rPr>
          <w:color w:val="auto"/>
          <w:highlight w:val="none"/>
        </w:rPr>
      </w:pPr>
    </w:p>
    <w:p>
      <w:pPr>
        <w:pStyle w:val="19"/>
        <w:spacing w:before="1"/>
        <w:rPr>
          <w:color w:val="auto"/>
          <w:highlight w:val="none"/>
        </w:rPr>
      </w:pPr>
      <w:r>
        <w:rPr>
          <w:color w:val="auto"/>
          <w:highlight w:val="none"/>
        </w:rPr>
        <w:t>致</w:t>
      </w:r>
      <w:r>
        <w:rPr>
          <w:rFonts w:hint="eastAsia"/>
          <w:color w:val="auto"/>
          <w:highlight w:val="none"/>
        </w:rPr>
        <w:t>四川智慧高速科技有限</w:t>
      </w:r>
      <w:r>
        <w:rPr>
          <w:color w:val="auto"/>
          <w:highlight w:val="none"/>
        </w:rPr>
        <w:t>公司：</w:t>
      </w:r>
    </w:p>
    <w:p>
      <w:pPr>
        <w:pStyle w:val="19"/>
        <w:spacing w:before="6"/>
        <w:rPr>
          <w:color w:val="auto"/>
          <w:sz w:val="15"/>
          <w:highlight w:val="none"/>
        </w:rPr>
      </w:pPr>
    </w:p>
    <w:p>
      <w:pPr>
        <w:pStyle w:val="19"/>
        <w:ind w:firstLine="420" w:firstLineChars="200"/>
        <w:rPr>
          <w:rFonts w:asciiTheme="minorEastAsia" w:hAnsiTheme="minorEastAsia" w:eastAsiaTheme="minorEastAsia"/>
          <w:color w:val="auto"/>
          <w:highlight w:val="none"/>
        </w:rPr>
      </w:pPr>
      <w:r>
        <w:rPr>
          <w:color w:val="auto"/>
          <w:highlight w:val="none"/>
        </w:rPr>
        <w:t>我们</w:t>
      </w:r>
      <w:r>
        <w:rPr>
          <w:rFonts w:hint="eastAsia"/>
          <w:color w:val="auto"/>
          <w:highlight w:val="none"/>
          <w:u w:val="single"/>
        </w:rPr>
        <w:t xml:space="preserve">        </w:t>
      </w:r>
      <w:r>
        <w:rPr>
          <w:color w:val="auto"/>
          <w:highlight w:val="none"/>
          <w:u w:val="single"/>
        </w:rPr>
        <w:t xml:space="preserve">（制造商全称）  </w:t>
      </w:r>
      <w:r>
        <w:rPr>
          <w:color w:val="auto"/>
          <w:highlight w:val="none"/>
        </w:rPr>
        <w:t>是按</w:t>
      </w:r>
      <w:r>
        <w:rPr>
          <w:rFonts w:hint="eastAsia"/>
          <w:color w:val="auto"/>
          <w:highlight w:val="none"/>
          <w:u w:val="single"/>
        </w:rPr>
        <w:t xml:space="preserve">        </w:t>
      </w:r>
      <w:r>
        <w:rPr>
          <w:color w:val="auto"/>
          <w:highlight w:val="none"/>
          <w:u w:val="single"/>
        </w:rPr>
        <w:t xml:space="preserve">（国家名称）  </w:t>
      </w:r>
      <w:r>
        <w:rPr>
          <w:color w:val="auto"/>
          <w:highlight w:val="none"/>
        </w:rPr>
        <w:t>的法律成立的一家制造商，主要营业地点设在</w:t>
      </w:r>
      <w:r>
        <w:rPr>
          <w:rFonts w:hint="eastAsia"/>
          <w:color w:val="auto"/>
          <w:highlight w:val="none"/>
          <w:u w:val="single"/>
        </w:rPr>
        <w:t xml:space="preserve">           </w:t>
      </w:r>
      <w:r>
        <w:rPr>
          <w:color w:val="auto"/>
          <w:highlight w:val="none"/>
          <w:u w:val="single"/>
        </w:rPr>
        <w:t xml:space="preserve">（制造商地址）   </w:t>
      </w:r>
      <w:r>
        <w:rPr>
          <w:color w:val="auto"/>
          <w:w w:val="95"/>
          <w:highlight w:val="none"/>
        </w:rPr>
        <w:t>。</w:t>
      </w:r>
      <w:r>
        <w:rPr>
          <w:color w:val="auto"/>
          <w:highlight w:val="none"/>
        </w:rPr>
        <w:t>兹指定和委派按</w:t>
      </w:r>
      <w:r>
        <w:rPr>
          <w:rFonts w:hint="eastAsia"/>
          <w:color w:val="auto"/>
          <w:highlight w:val="none"/>
          <w:u w:val="single"/>
        </w:rPr>
        <w:t xml:space="preserve">       </w:t>
      </w:r>
      <w:r>
        <w:rPr>
          <w:color w:val="auto"/>
          <w:highlight w:val="none"/>
          <w:u w:val="single"/>
        </w:rPr>
        <w:t xml:space="preserve">（国家名称） </w:t>
      </w:r>
      <w:r>
        <w:rPr>
          <w:color w:val="auto"/>
          <w:highlight w:val="none"/>
        </w:rPr>
        <w:t>的法律正式成立的其主要营业地点设在</w:t>
      </w:r>
      <w:r>
        <w:rPr>
          <w:rFonts w:hint="eastAsia"/>
          <w:color w:val="auto"/>
          <w:highlight w:val="none"/>
          <w:u w:val="single"/>
        </w:rPr>
        <w:t xml:space="preserve">        </w:t>
      </w:r>
      <w:r>
        <w:rPr>
          <w:color w:val="auto"/>
          <w:highlight w:val="none"/>
          <w:u w:val="single"/>
        </w:rPr>
        <w:t>（代理商地址）的</w:t>
      </w:r>
      <w:r>
        <w:rPr>
          <w:rFonts w:hint="eastAsia"/>
          <w:color w:val="auto"/>
          <w:highlight w:val="none"/>
          <w:u w:val="single"/>
        </w:rPr>
        <w:t xml:space="preserve">      </w:t>
      </w:r>
      <w:r>
        <w:rPr>
          <w:rFonts w:asciiTheme="minorEastAsia" w:hAnsiTheme="minorEastAsia" w:eastAsiaTheme="minorEastAsia"/>
          <w:color w:val="auto"/>
          <w:highlight w:val="none"/>
          <w:u w:val="single"/>
        </w:rPr>
        <w:t>（代理商全称）</w:t>
      </w:r>
      <w:r>
        <w:rPr>
          <w:rFonts w:asciiTheme="minorEastAsia" w:hAnsiTheme="minorEastAsia" w:eastAsiaTheme="minorEastAsia"/>
          <w:color w:val="auto"/>
          <w:highlight w:val="none"/>
        </w:rPr>
        <w:t>作为我方真正的和合法的代理人进行下列有效活动：</w:t>
      </w:r>
    </w:p>
    <w:p>
      <w:pPr>
        <w:pStyle w:val="19"/>
        <w:ind w:firstLine="420" w:firstLineChars="200"/>
        <w:rPr>
          <w:rFonts w:ascii="宋体" w:hAnsi="宋体" w:cs="宋体"/>
          <w:color w:val="auto"/>
          <w:highlight w:val="none"/>
        </w:rPr>
      </w:pPr>
      <w:r>
        <w:rPr>
          <w:rFonts w:hint="eastAsia" w:ascii="宋体" w:hAnsi="宋体" w:cs="宋体"/>
          <w:color w:val="auto"/>
          <w:highlight w:val="none"/>
        </w:rPr>
        <w:t>（1）代表我方办理贵方</w:t>
      </w:r>
      <w:r>
        <w:rPr>
          <w:rFonts w:hint="eastAsia" w:ascii="宋体" w:hAnsi="宋体" w:cs="宋体"/>
          <w:color w:val="auto"/>
          <w:highlight w:val="none"/>
          <w:u w:val="single"/>
        </w:rPr>
        <w:t xml:space="preserve">           比选项目名称     标段</w:t>
      </w:r>
      <w:r>
        <w:rPr>
          <w:rFonts w:hint="eastAsia" w:ascii="宋体" w:hAnsi="宋体" w:cs="宋体"/>
          <w:color w:val="auto"/>
          <w:highlight w:val="none"/>
        </w:rPr>
        <w:t>比选文件要求提供的由我方制造的设备的有关事宜，并对我方具有约束力。</w:t>
      </w:r>
    </w:p>
    <w:p>
      <w:pPr>
        <w:pStyle w:val="19"/>
        <w:ind w:firstLine="420" w:firstLineChars="200"/>
        <w:rPr>
          <w:rFonts w:ascii="宋体" w:hAnsi="宋体" w:cs="宋体"/>
          <w:color w:val="auto"/>
          <w:highlight w:val="none"/>
        </w:rPr>
      </w:pPr>
      <w:r>
        <w:rPr>
          <w:rFonts w:hint="eastAsia" w:ascii="宋体" w:hAnsi="宋体" w:cs="宋体"/>
          <w:color w:val="auto"/>
          <w:highlight w:val="none"/>
        </w:rPr>
        <w:t>（2）作为制造商，我方保证以比选合作者来约束自己，并对该比选共同和分别负责。</w:t>
      </w:r>
    </w:p>
    <w:p>
      <w:pPr>
        <w:pStyle w:val="19"/>
        <w:ind w:firstLine="420" w:firstLineChars="200"/>
        <w:rPr>
          <w:rFonts w:ascii="宋体" w:hAnsi="宋体" w:cs="宋体"/>
          <w:color w:val="auto"/>
          <w:highlight w:val="none"/>
        </w:rPr>
      </w:pPr>
      <w:r>
        <w:rPr>
          <w:rFonts w:hint="eastAsia" w:ascii="宋体" w:hAnsi="宋体" w:cs="宋体"/>
          <w:color w:val="auto"/>
          <w:highlight w:val="none"/>
        </w:rPr>
        <w:t>（3）我方兹授予</w:t>
      </w:r>
      <w:r>
        <w:rPr>
          <w:rFonts w:hint="eastAsia" w:ascii="宋体" w:hAnsi="宋体" w:cs="宋体"/>
          <w:color w:val="auto"/>
          <w:highlight w:val="none"/>
          <w:u w:val="single"/>
        </w:rPr>
        <w:t xml:space="preserve">           （代理商全称）</w:t>
      </w:r>
      <w:r>
        <w:rPr>
          <w:rFonts w:hint="eastAsia" w:ascii="宋体" w:hAnsi="宋体" w:cs="宋体"/>
          <w:color w:val="auto"/>
          <w:highlight w:val="none"/>
        </w:rPr>
        <w:t>全权办理和履行上述我方为完成上述各点所必须的事宜，具有替换或撤销的全权。兹认可和确认</w:t>
      </w:r>
      <w:r>
        <w:rPr>
          <w:rFonts w:hint="eastAsia" w:ascii="宋体" w:hAnsi="宋体" w:cs="宋体"/>
          <w:color w:val="auto"/>
          <w:highlight w:val="none"/>
          <w:u w:val="single"/>
        </w:rPr>
        <w:t xml:space="preserve">       （代理商全称）  </w:t>
      </w:r>
      <w:r>
        <w:rPr>
          <w:rFonts w:hint="eastAsia" w:ascii="宋体" w:hAnsi="宋体" w:cs="宋体"/>
          <w:color w:val="auto"/>
          <w:highlight w:val="none"/>
        </w:rPr>
        <w:t>或其正式授权代表依此合法地办理一切事宜。</w:t>
      </w:r>
    </w:p>
    <w:p>
      <w:pPr>
        <w:pStyle w:val="19"/>
        <w:tabs>
          <w:tab w:val="left" w:pos="2008"/>
          <w:tab w:val="left" w:pos="2428"/>
          <w:tab w:val="left" w:pos="2847"/>
        </w:tabs>
        <w:ind w:firstLine="420" w:firstLineChars="200"/>
        <w:rPr>
          <w:rFonts w:ascii="宋体" w:hAnsi="宋体" w:cs="宋体"/>
          <w:color w:val="auto"/>
          <w:highlight w:val="none"/>
        </w:rPr>
      </w:pPr>
      <w:r>
        <w:rPr>
          <w:rFonts w:hint="eastAsia" w:ascii="宋体" w:hAnsi="宋体" w:cs="宋体"/>
          <w:color w:val="auto"/>
          <w:highlight w:val="none"/>
        </w:rPr>
        <w:t>我方于</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年</w:t>
      </w:r>
      <w:r>
        <w:rPr>
          <w:rFonts w:hint="eastAsia" w:ascii="宋体" w:hAnsi="宋体" w:cs="宋体"/>
          <w:color w:val="auto"/>
          <w:highlight w:val="none"/>
          <w:u w:val="single"/>
        </w:rPr>
        <w:tab/>
      </w:r>
      <w:r>
        <w:rPr>
          <w:rFonts w:hint="eastAsia" w:ascii="宋体" w:hAnsi="宋体" w:cs="宋体"/>
          <w:color w:val="auto"/>
          <w:highlight w:val="none"/>
        </w:rPr>
        <w:t>月</w:t>
      </w:r>
      <w:r>
        <w:rPr>
          <w:rFonts w:hint="eastAsia" w:ascii="宋体" w:hAnsi="宋体" w:cs="宋体"/>
          <w:color w:val="auto"/>
          <w:highlight w:val="none"/>
          <w:u w:val="single"/>
        </w:rPr>
        <w:tab/>
      </w:r>
      <w:r>
        <w:rPr>
          <w:rFonts w:hint="eastAsia" w:ascii="宋体" w:hAnsi="宋体" w:cs="宋体"/>
          <w:color w:val="auto"/>
          <w:highlight w:val="none"/>
        </w:rPr>
        <w:t>日签署本文件。以此为证。</w:t>
      </w:r>
    </w:p>
    <w:p>
      <w:pPr>
        <w:pStyle w:val="19"/>
        <w:rPr>
          <w:color w:val="auto"/>
          <w:sz w:val="22"/>
          <w:highlight w:val="none"/>
        </w:rPr>
      </w:pPr>
    </w:p>
    <w:p>
      <w:pPr>
        <w:pStyle w:val="19"/>
        <w:spacing w:before="8"/>
        <w:rPr>
          <w:color w:val="auto"/>
          <w:sz w:val="22"/>
          <w:highlight w:val="none"/>
        </w:rPr>
      </w:pPr>
    </w:p>
    <w:p>
      <w:pPr>
        <w:pStyle w:val="19"/>
        <w:tabs>
          <w:tab w:val="left" w:pos="4583"/>
        </w:tabs>
        <w:ind w:firstLine="420" w:firstLineChars="200"/>
        <w:rPr>
          <w:color w:val="auto"/>
          <w:highlight w:val="none"/>
        </w:rPr>
      </w:pPr>
      <w:r>
        <w:rPr>
          <w:bCs/>
          <w:color w:val="auto"/>
          <w:highlight w:val="none"/>
        </w:rPr>
        <w:t>代理商</w:t>
      </w:r>
      <w:r>
        <w:rPr>
          <w:color w:val="auto"/>
          <w:highlight w:val="none"/>
        </w:rPr>
        <w:t>名称：</w:t>
      </w:r>
      <w:r>
        <w:rPr>
          <w:color w:val="auto"/>
          <w:highlight w:val="none"/>
        </w:rPr>
        <w:tab/>
      </w:r>
      <w:r>
        <w:rPr>
          <w:color w:val="auto"/>
          <w:highlight w:val="none"/>
        </w:rPr>
        <w:t>出具授权书的制造商名称：</w:t>
      </w:r>
    </w:p>
    <w:p>
      <w:pPr>
        <w:pStyle w:val="19"/>
        <w:tabs>
          <w:tab w:val="left" w:pos="4581"/>
        </w:tabs>
        <w:spacing w:before="1"/>
        <w:ind w:firstLine="420" w:firstLineChars="200"/>
        <w:rPr>
          <w:color w:val="auto"/>
          <w:highlight w:val="none"/>
        </w:rPr>
      </w:pPr>
      <w:r>
        <w:rPr>
          <w:color w:val="auto"/>
          <w:highlight w:val="none"/>
        </w:rPr>
        <w:t>正式授权签字的代理人</w:t>
      </w:r>
      <w:r>
        <w:rPr>
          <w:color w:val="auto"/>
          <w:highlight w:val="none"/>
        </w:rPr>
        <w:tab/>
      </w:r>
      <w:r>
        <w:rPr>
          <w:color w:val="auto"/>
          <w:highlight w:val="none"/>
        </w:rPr>
        <w:t>正式授权签字的代表人</w:t>
      </w:r>
    </w:p>
    <w:p>
      <w:pPr>
        <w:pStyle w:val="19"/>
        <w:tabs>
          <w:tab w:val="left" w:pos="5001"/>
        </w:tabs>
        <w:ind w:firstLine="420" w:firstLineChars="200"/>
        <w:rPr>
          <w:color w:val="auto"/>
          <w:highlight w:val="none"/>
        </w:rPr>
      </w:pPr>
      <w:r>
        <w:rPr>
          <w:color w:val="auto"/>
          <w:highlight w:val="none"/>
        </w:rPr>
        <w:t>（姓名）：</w:t>
      </w:r>
      <w:r>
        <w:rPr>
          <w:color w:val="auto"/>
          <w:highlight w:val="none"/>
        </w:rPr>
        <w:tab/>
      </w:r>
      <w:r>
        <w:rPr>
          <w:color w:val="auto"/>
          <w:highlight w:val="none"/>
        </w:rPr>
        <w:t>（姓名）：</w:t>
      </w:r>
    </w:p>
    <w:p>
      <w:pPr>
        <w:pStyle w:val="19"/>
        <w:tabs>
          <w:tab w:val="left" w:pos="4895"/>
        </w:tabs>
        <w:ind w:firstLine="420" w:firstLineChars="200"/>
        <w:rPr>
          <w:color w:val="auto"/>
          <w:highlight w:val="none"/>
        </w:rPr>
      </w:pPr>
      <w:r>
        <w:rPr>
          <w:color w:val="auto"/>
          <w:highlight w:val="none"/>
        </w:rPr>
        <w:t>（职务）：</w:t>
      </w:r>
      <w:r>
        <w:rPr>
          <w:color w:val="auto"/>
          <w:highlight w:val="none"/>
        </w:rPr>
        <w:tab/>
      </w:r>
      <w:r>
        <w:rPr>
          <w:rFonts w:hint="eastAsia"/>
          <w:color w:val="auto"/>
          <w:highlight w:val="none"/>
        </w:rPr>
        <w:t xml:space="preserve"> </w:t>
      </w:r>
      <w:r>
        <w:rPr>
          <w:color w:val="auto"/>
          <w:highlight w:val="none"/>
        </w:rPr>
        <w:t>（职务）：</w:t>
      </w:r>
    </w:p>
    <w:p>
      <w:pPr>
        <w:pStyle w:val="19"/>
        <w:tabs>
          <w:tab w:val="left" w:pos="5001"/>
        </w:tabs>
        <w:ind w:firstLine="420" w:firstLineChars="200"/>
        <w:rPr>
          <w:color w:val="auto"/>
          <w:highlight w:val="none"/>
        </w:rPr>
      </w:pPr>
      <w:r>
        <w:rPr>
          <w:color w:val="auto"/>
          <w:highlight w:val="none"/>
        </w:rPr>
        <w:t>（签名）：</w:t>
      </w:r>
      <w:r>
        <w:rPr>
          <w:color w:val="auto"/>
          <w:highlight w:val="none"/>
        </w:rPr>
        <w:tab/>
      </w:r>
      <w:r>
        <w:rPr>
          <w:color w:val="auto"/>
          <w:highlight w:val="none"/>
        </w:rPr>
        <w:t>（签名）：</w:t>
      </w:r>
    </w:p>
    <w:p>
      <w:pPr>
        <w:rPr>
          <w:color w:val="auto"/>
          <w:highlight w:val="none"/>
        </w:rPr>
      </w:pPr>
    </w:p>
    <w:p>
      <w:pPr>
        <w:pStyle w:val="2"/>
        <w:rPr>
          <w:color w:val="auto"/>
          <w:highlight w:val="none"/>
        </w:rPr>
        <w:sectPr>
          <w:footerReference r:id="rId7" w:type="default"/>
          <w:type w:val="continuous"/>
          <w:pgSz w:w="11910" w:h="16840"/>
          <w:pgMar w:top="1360" w:right="1350" w:bottom="1180" w:left="1320" w:header="0" w:footer="990" w:gutter="0"/>
          <w:cols w:space="720" w:num="1"/>
        </w:sectPr>
      </w:pPr>
    </w:p>
    <w:p>
      <w:pPr>
        <w:pStyle w:val="6"/>
        <w:ind w:firstLine="482"/>
        <w:rPr>
          <w:rFonts w:ascii="宋体" w:hAnsi="宋体" w:eastAsia="宋体" w:cs="宋体"/>
          <w:color w:val="auto"/>
          <w:highlight w:val="none"/>
        </w:rPr>
      </w:pPr>
      <w:r>
        <w:rPr>
          <w:rFonts w:hint="eastAsia" w:ascii="宋体" w:hAnsi="宋体" w:eastAsia="宋体" w:cs="宋体"/>
          <w:color w:val="auto"/>
          <w:highlight w:val="none"/>
        </w:rPr>
        <w:t>（二）近年财务状况表</w:t>
      </w:r>
    </w:p>
    <w:p>
      <w:pPr>
        <w:rPr>
          <w:rFonts w:ascii="宋体" w:hAnsi="宋体" w:cs="宋体"/>
          <w:snapToGrid w:val="0"/>
          <w:color w:val="auto"/>
          <w:szCs w:val="21"/>
          <w:highlight w:val="none"/>
          <w:u w:val="single"/>
        </w:rPr>
      </w:pPr>
      <w:r>
        <w:rPr>
          <w:rFonts w:hint="eastAsia" w:ascii="宋体" w:hAnsi="宋体" w:cs="宋体"/>
          <w:snapToGrid w:val="0"/>
          <w:color w:val="auto"/>
          <w:szCs w:val="21"/>
          <w:highlight w:val="none"/>
        </w:rPr>
        <w:t>比选申请人：</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 xml:space="preserve">                               标段：</w:t>
      </w:r>
      <w:r>
        <w:rPr>
          <w:rFonts w:hint="eastAsia" w:ascii="宋体" w:hAnsi="宋体" w:cs="宋体"/>
          <w:snapToGrid w:val="0"/>
          <w:color w:val="auto"/>
          <w:szCs w:val="21"/>
          <w:highlight w:val="none"/>
          <w:u w:val="single"/>
        </w:rPr>
        <w:t xml:space="preserve">      </w:t>
      </w:r>
    </w:p>
    <w:tbl>
      <w:tblPr>
        <w:tblStyle w:val="37"/>
        <w:tblW w:w="8869" w:type="dxa"/>
        <w:tblInd w:w="0" w:type="dxa"/>
        <w:tblLayout w:type="fixed"/>
        <w:tblCellMar>
          <w:top w:w="0" w:type="dxa"/>
          <w:left w:w="0" w:type="dxa"/>
          <w:bottom w:w="0" w:type="dxa"/>
          <w:right w:w="0" w:type="dxa"/>
        </w:tblCellMar>
      </w:tblPr>
      <w:tblGrid>
        <w:gridCol w:w="3958"/>
        <w:gridCol w:w="1319"/>
        <w:gridCol w:w="3592"/>
      </w:tblGrid>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项目或指标</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一、注册资金</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二、货币资金</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三、净资产</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四、总资产</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五、固定资产</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六、流动资产</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七、流动负债</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八、负债合计</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九、营业收入</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十、净利润</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十一、现金流量净额</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十二、主要财务指标</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rPr>
                <w:rFonts w:ascii="宋体" w:hAnsi="宋体" w:cs="宋体"/>
                <w:color w:val="auto"/>
                <w:szCs w:val="21"/>
                <w:highlight w:val="none"/>
              </w:rPr>
            </w:pPr>
            <w:r>
              <w:rPr>
                <w:rFonts w:hint="eastAsia" w:ascii="宋体" w:hAnsi="宋体" w:cs="宋体"/>
                <w:color w:val="auto"/>
                <w:szCs w:val="21"/>
                <w:highlight w:val="none"/>
              </w:rPr>
              <w:t>净资产收益率（年度净利润/年末净资产）</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highlight w:val="none"/>
              </w:rPr>
            </w:pPr>
          </w:p>
        </w:tc>
      </w:tr>
    </w:tbl>
    <w:p>
      <w:pPr>
        <w:spacing w:line="240" w:lineRule="auto"/>
        <w:rPr>
          <w:rFonts w:ascii="宋体" w:hAnsi="宋体" w:cs="宋体"/>
          <w:color w:val="auto"/>
          <w:szCs w:val="21"/>
          <w:highlight w:val="none"/>
        </w:rPr>
      </w:pPr>
      <w:r>
        <w:rPr>
          <w:rFonts w:hint="eastAsia" w:ascii="宋体" w:hAnsi="宋体" w:cs="宋体"/>
          <w:color w:val="auto"/>
          <w:szCs w:val="21"/>
          <w:highlight w:val="none"/>
        </w:rPr>
        <w:t>注：</w:t>
      </w:r>
    </w:p>
    <w:p>
      <w:pPr>
        <w:spacing w:line="240" w:lineRule="auto"/>
        <w:rPr>
          <w:rFonts w:ascii="宋体" w:hAnsi="宋体" w:cs="宋体"/>
          <w:color w:val="auto"/>
          <w:szCs w:val="21"/>
          <w:highlight w:val="none"/>
        </w:rPr>
      </w:pPr>
      <w:r>
        <w:rPr>
          <w:rFonts w:hint="eastAsia" w:ascii="宋体" w:hAnsi="宋体" w:cs="宋体"/>
          <w:color w:val="auto"/>
          <w:szCs w:val="21"/>
          <w:highlight w:val="none"/>
        </w:rPr>
        <w:t>1.本表后附比选申请人2021年或2022年的会计事务所出具的审计报告复印件，包括资产负债表、现金流表、利润表（损益表）和财务情况说明书（或附注）相关证明材料。</w:t>
      </w:r>
    </w:p>
    <w:p>
      <w:pPr>
        <w:spacing w:line="240" w:lineRule="auto"/>
        <w:rPr>
          <w:rFonts w:ascii="宋体" w:hAnsi="宋体" w:cs="宋体"/>
          <w:color w:val="auto"/>
          <w:szCs w:val="21"/>
          <w:highlight w:val="none"/>
        </w:rPr>
      </w:pPr>
      <w:r>
        <w:rPr>
          <w:rFonts w:hint="eastAsia" w:ascii="宋体" w:hAnsi="宋体" w:cs="宋体"/>
          <w:color w:val="auto"/>
          <w:szCs w:val="21"/>
          <w:highlight w:val="none"/>
        </w:rPr>
        <w:t>2.本表所列数据必须与本表各附件中的数据相一致。</w:t>
      </w:r>
    </w:p>
    <w:p>
      <w:pPr>
        <w:spacing w:line="240" w:lineRule="auto"/>
        <w:rPr>
          <w:rFonts w:ascii="宋体" w:hAnsi="宋体" w:cs="宋体"/>
          <w:color w:val="auto"/>
          <w:szCs w:val="21"/>
          <w:highlight w:val="none"/>
        </w:rPr>
      </w:pPr>
      <w:r>
        <w:rPr>
          <w:rFonts w:hint="eastAsia" w:ascii="宋体" w:hAnsi="宋体" w:cs="宋体"/>
          <w:color w:val="auto"/>
          <w:szCs w:val="21"/>
          <w:highlight w:val="none"/>
        </w:rPr>
        <w:t>3.本表及以上证明材料盖申请人单位章。</w:t>
      </w:r>
    </w:p>
    <w:p>
      <w:pPr>
        <w:topLinePunct/>
        <w:spacing w:line="440" w:lineRule="exact"/>
        <w:ind w:firstLine="420" w:firstLineChars="200"/>
        <w:rPr>
          <w:rFonts w:ascii="宋体" w:hAnsi="宋体" w:cs="宋体"/>
          <w:color w:val="auto"/>
          <w:sz w:val="20"/>
          <w:highlight w:val="none"/>
        </w:rPr>
      </w:pPr>
      <w:r>
        <w:rPr>
          <w:rFonts w:hint="eastAsia" w:ascii="宋体" w:hAnsi="宋体" w:cs="宋体"/>
          <w:color w:val="auto"/>
          <w:highlight w:val="none"/>
        </w:rPr>
        <w:br w:type="page"/>
      </w:r>
    </w:p>
    <w:p>
      <w:pPr>
        <w:pStyle w:val="6"/>
        <w:numPr>
          <w:ilvl w:val="0"/>
          <w:numId w:val="6"/>
        </w:numPr>
        <w:ind w:firstLine="482"/>
        <w:rPr>
          <w:rFonts w:ascii="宋体" w:hAnsi="宋体" w:eastAsia="宋体" w:cs="宋体"/>
          <w:color w:val="auto"/>
          <w:highlight w:val="none"/>
        </w:rPr>
      </w:pPr>
      <w:r>
        <w:rPr>
          <w:rFonts w:hint="eastAsia" w:ascii="宋体" w:hAnsi="宋体" w:eastAsia="宋体" w:cs="宋体"/>
          <w:color w:val="auto"/>
          <w:highlight w:val="none"/>
        </w:rPr>
        <w:t>近年完成的类似项目业绩表</w:t>
      </w:r>
    </w:p>
    <w:p>
      <w:pPr>
        <w:rPr>
          <w:rFonts w:ascii="宋体" w:hAnsi="宋体" w:cs="宋体"/>
          <w:color w:val="auto"/>
          <w:highlight w:val="none"/>
          <w:u w:val="single"/>
        </w:rPr>
      </w:pPr>
      <w:r>
        <w:rPr>
          <w:rFonts w:hint="eastAsia" w:ascii="宋体" w:hAnsi="宋体" w:cs="宋体"/>
          <w:color w:val="auto"/>
          <w:highlight w:val="none"/>
        </w:rPr>
        <w:t>序号</w:t>
      </w:r>
      <w:r>
        <w:rPr>
          <w:rFonts w:hint="eastAsia" w:ascii="宋体" w:hAnsi="宋体" w:cs="宋体"/>
          <w:color w:val="auto"/>
          <w:highlight w:val="none"/>
          <w:u w:val="single"/>
        </w:rPr>
        <w:t xml:space="preserve">      </w:t>
      </w: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269" w:type="dxa"/>
            <w:vAlign w:val="center"/>
          </w:tcPr>
          <w:p>
            <w:pPr>
              <w:topLinePunct/>
              <w:spacing w:line="240" w:lineRule="auto"/>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6253" w:type="dxa"/>
          </w:tcPr>
          <w:p>
            <w:pPr>
              <w:topLinePunct/>
              <w:spacing w:line="24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269" w:type="dxa"/>
            <w:vAlign w:val="center"/>
          </w:tcPr>
          <w:p>
            <w:pPr>
              <w:topLinePunct/>
              <w:spacing w:line="240" w:lineRule="auto"/>
              <w:jc w:val="center"/>
              <w:rPr>
                <w:rFonts w:ascii="宋体" w:hAnsi="宋体" w:cs="宋体"/>
                <w:color w:val="auto"/>
                <w:szCs w:val="21"/>
                <w:highlight w:val="none"/>
              </w:rPr>
            </w:pPr>
            <w:r>
              <w:rPr>
                <w:rFonts w:hint="eastAsia" w:ascii="宋体" w:hAnsi="宋体" w:cs="宋体"/>
                <w:color w:val="auto"/>
                <w:szCs w:val="21"/>
                <w:highlight w:val="none"/>
              </w:rPr>
              <w:t>规格和型号</w:t>
            </w:r>
          </w:p>
        </w:tc>
        <w:tc>
          <w:tcPr>
            <w:tcW w:w="6253" w:type="dxa"/>
          </w:tcPr>
          <w:p>
            <w:pPr>
              <w:topLinePunct/>
              <w:spacing w:line="24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69" w:type="dxa"/>
            <w:vAlign w:val="center"/>
          </w:tcPr>
          <w:p>
            <w:pPr>
              <w:topLinePunct/>
              <w:spacing w:line="24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253" w:type="dxa"/>
          </w:tcPr>
          <w:p>
            <w:pPr>
              <w:topLinePunct/>
              <w:spacing w:line="24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269" w:type="dxa"/>
            <w:vAlign w:val="center"/>
          </w:tcPr>
          <w:p>
            <w:pPr>
              <w:topLinePunct/>
              <w:spacing w:line="240" w:lineRule="auto"/>
              <w:jc w:val="center"/>
              <w:rPr>
                <w:rFonts w:ascii="宋体" w:hAnsi="宋体" w:cs="宋体"/>
                <w:color w:val="auto"/>
                <w:szCs w:val="21"/>
                <w:highlight w:val="none"/>
              </w:rPr>
            </w:pPr>
            <w:r>
              <w:rPr>
                <w:rFonts w:hint="eastAsia" w:ascii="宋体" w:hAnsi="宋体" w:cs="宋体"/>
                <w:color w:val="auto"/>
                <w:szCs w:val="21"/>
                <w:highlight w:val="none"/>
              </w:rPr>
              <w:t>买方名称</w:t>
            </w:r>
          </w:p>
        </w:tc>
        <w:tc>
          <w:tcPr>
            <w:tcW w:w="6253" w:type="dxa"/>
          </w:tcPr>
          <w:p>
            <w:pPr>
              <w:topLinePunct/>
              <w:spacing w:line="24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2269" w:type="dxa"/>
            <w:vAlign w:val="center"/>
          </w:tcPr>
          <w:p>
            <w:pPr>
              <w:topLinePunct/>
              <w:spacing w:line="240" w:lineRule="auto"/>
              <w:jc w:val="center"/>
              <w:rPr>
                <w:rFonts w:ascii="宋体" w:hAnsi="宋体" w:cs="宋体"/>
                <w:color w:val="auto"/>
                <w:szCs w:val="21"/>
                <w:highlight w:val="none"/>
              </w:rPr>
            </w:pPr>
            <w:r>
              <w:rPr>
                <w:rFonts w:hint="eastAsia" w:ascii="宋体" w:hAnsi="宋体" w:cs="宋体"/>
                <w:color w:val="auto"/>
                <w:szCs w:val="21"/>
                <w:highlight w:val="none"/>
              </w:rPr>
              <w:t>买方联系人及电话</w:t>
            </w:r>
          </w:p>
        </w:tc>
        <w:tc>
          <w:tcPr>
            <w:tcW w:w="6253" w:type="dxa"/>
          </w:tcPr>
          <w:p>
            <w:pPr>
              <w:topLinePunct/>
              <w:spacing w:line="24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269" w:type="dxa"/>
            <w:vAlign w:val="center"/>
          </w:tcPr>
          <w:p>
            <w:pPr>
              <w:topLinePunct/>
              <w:spacing w:line="240" w:lineRule="auto"/>
              <w:jc w:val="center"/>
              <w:rPr>
                <w:rFonts w:ascii="宋体" w:hAnsi="宋体" w:cs="宋体"/>
                <w:color w:val="auto"/>
                <w:szCs w:val="21"/>
                <w:highlight w:val="none"/>
              </w:rPr>
            </w:pPr>
            <w:r>
              <w:rPr>
                <w:rFonts w:hint="eastAsia" w:ascii="宋体" w:hAnsi="宋体" w:cs="宋体"/>
                <w:color w:val="auto"/>
                <w:szCs w:val="21"/>
                <w:highlight w:val="none"/>
              </w:rPr>
              <w:t>合同价/数量</w:t>
            </w:r>
          </w:p>
        </w:tc>
        <w:tc>
          <w:tcPr>
            <w:tcW w:w="6253" w:type="dxa"/>
          </w:tcPr>
          <w:p>
            <w:pPr>
              <w:topLinePunct/>
              <w:spacing w:line="24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240" w:lineRule="auto"/>
              <w:jc w:val="center"/>
              <w:rPr>
                <w:rFonts w:ascii="宋体" w:hAnsi="宋体" w:cs="宋体"/>
                <w:color w:val="auto"/>
                <w:szCs w:val="21"/>
                <w:highlight w:val="none"/>
              </w:rPr>
            </w:pPr>
            <w:r>
              <w:rPr>
                <w:rFonts w:hint="eastAsia" w:ascii="宋体" w:hAnsi="宋体" w:cs="宋体"/>
                <w:color w:val="auto"/>
                <w:szCs w:val="21"/>
                <w:highlight w:val="none"/>
              </w:rPr>
              <w:t>项目概况及比选申请人履约情况</w:t>
            </w:r>
          </w:p>
        </w:tc>
        <w:tc>
          <w:tcPr>
            <w:tcW w:w="6253" w:type="dxa"/>
          </w:tcPr>
          <w:p>
            <w:pPr>
              <w:topLinePunct/>
              <w:spacing w:line="240" w:lineRule="auto"/>
              <w:rPr>
                <w:rFonts w:ascii="宋体" w:hAnsi="宋体" w:cs="宋体"/>
                <w:color w:val="auto"/>
                <w:highlight w:val="none"/>
              </w:rPr>
            </w:pPr>
          </w:p>
          <w:p>
            <w:pPr>
              <w:topLinePunct/>
              <w:spacing w:line="240" w:lineRule="auto"/>
              <w:rPr>
                <w:rFonts w:ascii="宋体" w:hAnsi="宋体" w:cs="宋体"/>
                <w:color w:val="auto"/>
                <w:highlight w:val="none"/>
              </w:rPr>
            </w:pPr>
          </w:p>
          <w:p>
            <w:pPr>
              <w:topLinePunct/>
              <w:spacing w:line="240" w:lineRule="auto"/>
              <w:rPr>
                <w:rFonts w:ascii="宋体" w:hAnsi="宋体" w:cs="宋体"/>
                <w:color w:val="auto"/>
                <w:highlight w:val="none"/>
              </w:rPr>
            </w:pPr>
          </w:p>
          <w:p>
            <w:pPr>
              <w:topLinePunct/>
              <w:spacing w:line="240" w:lineRule="auto"/>
              <w:rPr>
                <w:rFonts w:ascii="宋体" w:hAnsi="宋体" w:cs="宋体"/>
                <w:color w:val="auto"/>
                <w:highlight w:val="none"/>
              </w:rPr>
            </w:pPr>
          </w:p>
          <w:p>
            <w:pPr>
              <w:topLinePunct/>
              <w:spacing w:line="240" w:lineRule="auto"/>
              <w:rPr>
                <w:rFonts w:ascii="宋体" w:hAnsi="宋体" w:cs="宋体"/>
                <w:color w:val="auto"/>
                <w:highlight w:val="none"/>
              </w:rPr>
            </w:pPr>
          </w:p>
          <w:p>
            <w:pPr>
              <w:topLinePunct/>
              <w:spacing w:line="240" w:lineRule="auto"/>
              <w:rPr>
                <w:rFonts w:ascii="宋体" w:hAnsi="宋体" w:cs="宋体"/>
                <w:color w:val="auto"/>
                <w:highlight w:val="none"/>
              </w:rPr>
            </w:pPr>
          </w:p>
          <w:p>
            <w:pPr>
              <w:topLinePunct/>
              <w:spacing w:line="24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269" w:type="dxa"/>
            <w:vAlign w:val="center"/>
          </w:tcPr>
          <w:p>
            <w:pPr>
              <w:topLinePunct/>
              <w:spacing w:line="24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253" w:type="dxa"/>
          </w:tcPr>
          <w:p>
            <w:pPr>
              <w:topLinePunct/>
              <w:spacing w:line="240" w:lineRule="auto"/>
              <w:rPr>
                <w:rFonts w:ascii="宋体" w:hAnsi="宋体" w:cs="宋体"/>
                <w:color w:val="auto"/>
                <w:highlight w:val="none"/>
              </w:rPr>
            </w:pPr>
          </w:p>
        </w:tc>
      </w:tr>
    </w:tbl>
    <w:p>
      <w:pPr>
        <w:spacing w:line="240" w:lineRule="auto"/>
        <w:rPr>
          <w:rFonts w:ascii="宋体" w:hAnsi="宋体" w:cs="宋体"/>
          <w:color w:val="auto"/>
          <w:highlight w:val="none"/>
        </w:rPr>
      </w:pPr>
      <w:r>
        <w:rPr>
          <w:rFonts w:hint="eastAsia" w:ascii="宋体" w:hAnsi="宋体" w:cs="宋体"/>
          <w:color w:val="auto"/>
          <w:highlight w:val="none"/>
        </w:rPr>
        <w:t>注：</w:t>
      </w:r>
    </w:p>
    <w:p>
      <w:pPr>
        <w:spacing w:line="240" w:lineRule="auto"/>
        <w:rPr>
          <w:rFonts w:ascii="宋体" w:hAnsi="宋体" w:cs="宋体"/>
          <w:color w:val="auto"/>
          <w:szCs w:val="21"/>
          <w:highlight w:val="none"/>
        </w:rPr>
      </w:pPr>
      <w:r>
        <w:rPr>
          <w:rFonts w:hint="eastAsia" w:ascii="宋体" w:hAnsi="宋体" w:cs="宋体"/>
          <w:color w:val="auto"/>
          <w:szCs w:val="21"/>
          <w:highlight w:val="none"/>
        </w:rPr>
        <w:t>1.每张表格只填写一个项目，并标明序号。</w:t>
      </w:r>
    </w:p>
    <w:p>
      <w:pPr>
        <w:spacing w:line="240" w:lineRule="auto"/>
        <w:rPr>
          <w:rFonts w:ascii="宋体" w:hAnsi="宋体" w:cs="宋体"/>
          <w:color w:val="auto"/>
          <w:szCs w:val="21"/>
          <w:highlight w:val="none"/>
        </w:rPr>
      </w:pPr>
      <w:r>
        <w:rPr>
          <w:rFonts w:hint="eastAsia" w:ascii="宋体" w:hAnsi="宋体" w:cs="宋体"/>
          <w:color w:val="auto"/>
          <w:szCs w:val="21"/>
          <w:highlight w:val="none"/>
        </w:rPr>
        <w:t>2.本表后附比选申请人业绩合同协议书（</w:t>
      </w:r>
      <w:r>
        <w:rPr>
          <w:rFonts w:hint="eastAsia" w:ascii="宋体" w:hAnsi="宋体" w:cs="宋体"/>
          <w:bCs/>
          <w:color w:val="auto"/>
          <w:kern w:val="2"/>
          <w:szCs w:val="21"/>
          <w:highlight w:val="none"/>
        </w:rPr>
        <w:t>包括签订合同的首页、项目名称、简介所在页、金额页、签字盖章页等关键页）的复印件</w:t>
      </w:r>
      <w:r>
        <w:rPr>
          <w:rFonts w:hint="eastAsia" w:ascii="宋体" w:hAnsi="宋体" w:cs="宋体"/>
          <w:color w:val="auto"/>
          <w:szCs w:val="21"/>
          <w:highlight w:val="none"/>
        </w:rPr>
        <w:t>等相关证明材料；业绩时间以合同签订时间为准。</w:t>
      </w:r>
    </w:p>
    <w:p>
      <w:pPr>
        <w:spacing w:line="240" w:lineRule="auto"/>
        <w:rPr>
          <w:rFonts w:ascii="宋体" w:hAnsi="宋体" w:cs="宋体"/>
          <w:color w:val="auto"/>
          <w:szCs w:val="21"/>
          <w:highlight w:val="none"/>
        </w:rPr>
      </w:pPr>
      <w:r>
        <w:rPr>
          <w:rFonts w:hint="eastAsia" w:ascii="宋体" w:hAnsi="宋体" w:cs="宋体"/>
          <w:color w:val="auto"/>
          <w:szCs w:val="21"/>
          <w:highlight w:val="none"/>
        </w:rPr>
        <w:t>3.如近年来，比选申请人法人机构发生合法变更或重组或法人名称变更时，应提供相关部门的合法批件或其他相关证明材料来证明其所附业绩的继承性。</w:t>
      </w:r>
    </w:p>
    <w:p>
      <w:pPr>
        <w:spacing w:line="240" w:lineRule="auto"/>
        <w:rPr>
          <w:rFonts w:ascii="宋体" w:hAnsi="宋体" w:cs="宋体"/>
          <w:color w:val="auto"/>
          <w:szCs w:val="21"/>
          <w:highlight w:val="none"/>
        </w:rPr>
      </w:pPr>
      <w:r>
        <w:rPr>
          <w:rFonts w:hint="eastAsia" w:ascii="宋体" w:hAnsi="宋体" w:cs="宋体"/>
          <w:color w:val="auto"/>
          <w:szCs w:val="21"/>
          <w:highlight w:val="none"/>
        </w:rPr>
        <w:t>4.以上证明材料均为复印件，本表及以上证明材料加申请人单位章。</w:t>
      </w:r>
    </w:p>
    <w:p>
      <w:pPr>
        <w:topLinePunct/>
        <w:spacing w:line="440" w:lineRule="exact"/>
        <w:ind w:firstLine="420"/>
        <w:rPr>
          <w:rFonts w:ascii="宋体" w:hAnsi="宋体" w:cs="宋体"/>
          <w:color w:val="auto"/>
          <w:highlight w:val="none"/>
        </w:rPr>
      </w:pPr>
      <w:r>
        <w:rPr>
          <w:rFonts w:hint="eastAsia" w:ascii="宋体" w:hAnsi="宋体" w:cs="宋体"/>
          <w:color w:val="auto"/>
          <w:highlight w:val="none"/>
        </w:rPr>
        <w:br w:type="page"/>
      </w:r>
    </w:p>
    <w:p>
      <w:pPr>
        <w:pStyle w:val="6"/>
        <w:spacing w:line="440" w:lineRule="exact"/>
        <w:ind w:firstLine="482"/>
        <w:rPr>
          <w:rFonts w:ascii="宋体" w:hAnsi="宋体" w:eastAsia="宋体" w:cs="宋体"/>
          <w:color w:val="auto"/>
          <w:highlight w:val="none"/>
        </w:rPr>
      </w:pPr>
      <w:r>
        <w:rPr>
          <w:rFonts w:hint="eastAsia" w:ascii="宋体" w:hAnsi="宋体" w:eastAsia="宋体" w:cs="宋体"/>
          <w:color w:val="auto"/>
          <w:highlight w:val="none"/>
        </w:rPr>
        <w:t>（四）比选申请人信誉情况表</w:t>
      </w:r>
    </w:p>
    <w:p>
      <w:pPr>
        <w:spacing w:line="440" w:lineRule="exact"/>
        <w:ind w:firstLine="400"/>
        <w:rPr>
          <w:rFonts w:ascii="宋体" w:hAnsi="宋体" w:cs="宋体"/>
          <w:color w:val="auto"/>
          <w:sz w:val="20"/>
          <w:szCs w:val="20"/>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4151" w:type="dxa"/>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比选申请人情况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rPr>
                <w:rFonts w:ascii="宋体" w:hAnsi="宋体" w:cs="宋体"/>
                <w:color w:val="auto"/>
                <w:szCs w:val="21"/>
                <w:highlight w:val="none"/>
              </w:rPr>
            </w:pPr>
            <w:r>
              <w:rPr>
                <w:rFonts w:hint="eastAsia" w:ascii="宋体" w:hAnsi="宋体" w:cs="宋体"/>
                <w:color w:val="auto"/>
                <w:szCs w:val="21"/>
                <w:highlight w:val="none"/>
              </w:rPr>
              <w:t>1.在“信用中国”网站（http：//www.creditchina.gov.cn）中比选申请人（单位）失信被执行名单</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情况。</w:t>
            </w:r>
          </w:p>
        </w:tc>
        <w:tc>
          <w:tcPr>
            <w:tcW w:w="4151" w:type="dxa"/>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2.在国家企业信用信息公示系统（http：//www.gsxt.gov.cn）中比选申请人（单位）在“严重违法失信企业名单（黑名单）信息”的相关情况</w:t>
            </w:r>
            <w:r>
              <w:rPr>
                <w:rFonts w:hint="eastAsia" w:ascii="宋体" w:hAnsi="宋体" w:cs="宋体"/>
                <w:color w:val="auto"/>
                <w:szCs w:val="21"/>
                <w:highlight w:val="none"/>
                <w:lang w:eastAsia="zh-CN"/>
              </w:rPr>
              <w:t>。</w:t>
            </w:r>
          </w:p>
        </w:tc>
        <w:tc>
          <w:tcPr>
            <w:tcW w:w="4151" w:type="dxa"/>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在2020年1月1日至本项目比选申请截止日期间，比选申请人（单位）、法定代表人被人民法院生效判决或裁定认为行贿犯罪的情况及无行贿犯罪的情况</w:t>
            </w:r>
            <w:r>
              <w:rPr>
                <w:rFonts w:hint="eastAsia" w:ascii="宋体" w:hAnsi="宋体" w:cs="宋体"/>
                <w:color w:val="auto"/>
                <w:szCs w:val="21"/>
                <w:highlight w:val="none"/>
                <w:lang w:eastAsia="zh-CN"/>
              </w:rPr>
              <w:t>。</w:t>
            </w:r>
          </w:p>
        </w:tc>
        <w:tc>
          <w:tcPr>
            <w:tcW w:w="4151" w:type="dxa"/>
          </w:tcPr>
          <w:p>
            <w:pPr>
              <w:spacing w:line="440" w:lineRule="exact"/>
              <w:rPr>
                <w:rFonts w:ascii="宋体" w:hAnsi="宋体" w:cs="宋体"/>
                <w:color w:val="auto"/>
                <w:szCs w:val="21"/>
                <w:highlight w:val="none"/>
              </w:rPr>
            </w:pPr>
          </w:p>
        </w:tc>
      </w:tr>
    </w:tbl>
    <w:p>
      <w:pPr>
        <w:spacing w:line="240" w:lineRule="auto"/>
        <w:rPr>
          <w:rFonts w:ascii="宋体" w:hAnsi="宋体" w:cs="宋体"/>
          <w:color w:val="auto"/>
          <w:szCs w:val="21"/>
          <w:highlight w:val="none"/>
        </w:rPr>
      </w:pPr>
      <w:r>
        <w:rPr>
          <w:rFonts w:hint="eastAsia" w:ascii="宋体" w:hAnsi="宋体" w:cs="宋体"/>
          <w:color w:val="auto"/>
          <w:szCs w:val="21"/>
          <w:highlight w:val="none"/>
        </w:rPr>
        <w:t>注：</w:t>
      </w:r>
    </w:p>
    <w:p>
      <w:pPr>
        <w:numPr>
          <w:ilvl w:val="0"/>
          <w:numId w:val="0"/>
        </w:numPr>
        <w:spacing w:line="24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比选申请人应按照比选文件第二章“比选申请人须知”前附表附录 4规定，逐条说明其信誉情况</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没有则填无</w:t>
      </w:r>
      <w:r>
        <w:rPr>
          <w:rFonts w:hint="eastAsia" w:ascii="宋体" w:hAnsi="宋体" w:cs="宋体"/>
          <w:color w:val="auto"/>
          <w:szCs w:val="21"/>
          <w:highlight w:val="none"/>
          <w:lang w:eastAsia="zh-CN"/>
        </w:rPr>
        <w:t>。</w:t>
      </w:r>
    </w:p>
    <w:p>
      <w:pPr>
        <w:pStyle w:val="2"/>
        <w:numPr>
          <w:ilvl w:val="0"/>
          <w:numId w:val="0"/>
        </w:numPr>
        <w:rPr>
          <w:rFonts w:hint="eastAsia" w:eastAsia="宋体"/>
          <w:color w:val="auto"/>
          <w:highlight w:val="none"/>
          <w:lang w:val="en-US" w:eastAsia="zh-CN"/>
        </w:rPr>
      </w:pPr>
      <w:r>
        <w:rPr>
          <w:rFonts w:hint="eastAsia"/>
          <w:color w:val="auto"/>
          <w:highlight w:val="none"/>
          <w:lang w:val="en-US" w:eastAsia="zh-CN"/>
        </w:rPr>
        <w:t>2、</w:t>
      </w:r>
      <w:r>
        <w:rPr>
          <w:rFonts w:hint="eastAsia" w:ascii="宋体" w:hAnsi="宋体" w:cs="宋体"/>
          <w:b w:val="0"/>
          <w:bCs w:val="0"/>
          <w:color w:val="auto"/>
          <w:sz w:val="21"/>
          <w:szCs w:val="21"/>
          <w:highlight w:val="none"/>
        </w:rPr>
        <w:t>按</w:t>
      </w:r>
      <w:r>
        <w:rPr>
          <w:rFonts w:hint="eastAsia" w:ascii="宋体" w:hAnsi="宋体" w:cs="宋体"/>
          <w:b w:val="0"/>
          <w:bCs w:val="0"/>
          <w:color w:val="auto"/>
          <w:sz w:val="21"/>
          <w:szCs w:val="21"/>
          <w:highlight w:val="none"/>
          <w:lang w:val="en-US" w:eastAsia="zh-CN"/>
        </w:rPr>
        <w:t>比选</w:t>
      </w:r>
      <w:r>
        <w:rPr>
          <w:rFonts w:hint="eastAsia" w:ascii="宋体" w:hAnsi="宋体" w:cs="宋体"/>
          <w:b w:val="0"/>
          <w:bCs w:val="0"/>
          <w:color w:val="auto"/>
          <w:sz w:val="21"/>
          <w:szCs w:val="21"/>
          <w:highlight w:val="none"/>
          <w:lang w:eastAsia="zh-CN"/>
        </w:rPr>
        <w:t>文件</w:t>
      </w:r>
      <w:r>
        <w:rPr>
          <w:rFonts w:hint="eastAsia" w:ascii="宋体" w:hAnsi="宋体" w:cs="宋体"/>
          <w:b w:val="0"/>
          <w:bCs w:val="0"/>
          <w:color w:val="auto"/>
          <w:sz w:val="21"/>
          <w:szCs w:val="21"/>
          <w:highlight w:val="none"/>
        </w:rPr>
        <w:t>格式要求提供信誉情况承诺函</w:t>
      </w:r>
      <w:r>
        <w:rPr>
          <w:rFonts w:hint="eastAsia" w:ascii="宋体" w:hAnsi="宋体" w:cs="宋体"/>
          <w:b w:val="0"/>
          <w:bCs w:val="0"/>
          <w:color w:val="auto"/>
          <w:sz w:val="21"/>
          <w:szCs w:val="21"/>
          <w:highlight w:val="none"/>
          <w:lang w:eastAsia="zh-CN"/>
        </w:rPr>
        <w:t>。</w:t>
      </w:r>
    </w:p>
    <w:p>
      <w:pPr>
        <w:spacing w:line="24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本表及证明材料应加盖比选申请人单位章。</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shd w:val="clear" w:color="auto" w:fill="auto"/>
        </w:rPr>
      </w:pPr>
      <w:r>
        <w:rPr>
          <w:rFonts w:hint="eastAsia" w:ascii="宋体" w:hAnsi="宋体" w:eastAsia="宋体" w:cs="宋体"/>
          <w:b/>
          <w:color w:val="auto"/>
          <w:sz w:val="32"/>
          <w:highlight w:val="none"/>
          <w:shd w:val="clear" w:color="auto" w:fill="auto"/>
        </w:rPr>
        <w:t>信誉情况承诺函</w:t>
      </w:r>
    </w:p>
    <w:p>
      <w:pPr>
        <w:jc w:val="left"/>
        <w:rPr>
          <w:rFonts w:hint="eastAsia" w:ascii="宋体" w:hAnsi="宋体" w:eastAsia="宋体" w:cs="宋体"/>
          <w:color w:val="auto"/>
          <w:szCs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after="143" w:afterLines="50"/>
        <w:jc w:val="left"/>
        <w:textAlignment w:val="auto"/>
        <w:rPr>
          <w:rFonts w:hint="eastAsia" w:ascii="宋体" w:hAnsi="宋体" w:eastAsia="宋体" w:cs="宋体"/>
          <w:color w:val="auto"/>
          <w:szCs w:val="24"/>
          <w:highlight w:val="none"/>
          <w:shd w:val="clear" w:color="auto" w:fill="auto"/>
          <w:lang w:eastAsia="zh-CN"/>
        </w:rPr>
      </w:pPr>
      <w:r>
        <w:rPr>
          <w:rFonts w:hint="eastAsia" w:ascii="宋体" w:hAnsi="宋体" w:eastAsia="宋体" w:cs="宋体"/>
          <w:color w:val="auto"/>
          <w:szCs w:val="24"/>
          <w:highlight w:val="none"/>
          <w:u w:val="single"/>
          <w:shd w:val="clear" w:color="auto" w:fill="auto"/>
          <w:lang w:val="en-US" w:eastAsia="zh-CN"/>
        </w:rPr>
        <w:t xml:space="preserve">            </w:t>
      </w:r>
      <w:r>
        <w:rPr>
          <w:rFonts w:hint="eastAsia" w:ascii="宋体" w:hAnsi="宋体" w:cs="宋体"/>
          <w:color w:val="auto"/>
          <w:szCs w:val="24"/>
          <w:highlight w:val="none"/>
          <w:u w:val="single"/>
          <w:shd w:val="clear" w:color="auto" w:fill="auto"/>
          <w:lang w:val="en-US" w:eastAsia="zh-CN"/>
        </w:rPr>
        <w:t xml:space="preserve"> </w:t>
      </w:r>
      <w:r>
        <w:rPr>
          <w:rFonts w:hint="eastAsia" w:ascii="宋体" w:hAnsi="宋体" w:eastAsia="宋体" w:cs="宋体"/>
          <w:color w:val="auto"/>
          <w:szCs w:val="24"/>
          <w:highlight w:val="none"/>
          <w:u w:val="single"/>
          <w:shd w:val="clear" w:color="auto" w:fill="auto"/>
          <w:lang w:val="en-US" w:eastAsia="zh-CN"/>
        </w:rPr>
        <w:t xml:space="preserve">     </w:t>
      </w:r>
      <w:r>
        <w:rPr>
          <w:rFonts w:hint="eastAsia" w:ascii="宋体" w:hAnsi="宋体" w:eastAsia="宋体" w:cs="宋体"/>
          <w:color w:val="auto"/>
          <w:szCs w:val="24"/>
          <w:highlight w:val="none"/>
          <w:shd w:val="clear" w:color="auto" w:fill="auto"/>
          <w:lang w:eastAsia="zh-CN"/>
        </w:rPr>
        <w:t>（</w:t>
      </w:r>
      <w:r>
        <w:rPr>
          <w:rFonts w:hint="eastAsia" w:ascii="宋体" w:hAnsi="宋体" w:eastAsia="宋体" w:cs="宋体"/>
          <w:color w:val="auto"/>
          <w:szCs w:val="24"/>
          <w:highlight w:val="none"/>
          <w:shd w:val="clear" w:color="auto" w:fill="auto"/>
        </w:rPr>
        <w:t>比选人名称</w:t>
      </w:r>
      <w:r>
        <w:rPr>
          <w:rFonts w:hint="eastAsia" w:ascii="宋体" w:hAnsi="宋体" w:eastAsia="宋体" w:cs="宋体"/>
          <w:color w:val="auto"/>
          <w:szCs w:val="24"/>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我公司于</w:t>
      </w:r>
      <w:r>
        <w:rPr>
          <w:rFonts w:hint="eastAsia" w:ascii="宋体" w:hAnsi="宋体" w:eastAsia="宋体" w:cs="宋体"/>
          <w:color w:val="auto"/>
          <w:szCs w:val="24"/>
          <w:highlight w:val="none"/>
          <w:u w:val="single"/>
          <w:shd w:val="clear" w:color="auto" w:fill="auto"/>
          <w:lang w:val="en-US" w:eastAsia="zh-CN"/>
        </w:rPr>
        <w:t xml:space="preserve">    </w:t>
      </w:r>
      <w:r>
        <w:rPr>
          <w:rFonts w:hint="eastAsia" w:ascii="宋体" w:hAnsi="宋体" w:eastAsia="宋体" w:cs="宋体"/>
          <w:color w:val="auto"/>
          <w:szCs w:val="24"/>
          <w:highlight w:val="none"/>
          <w:shd w:val="clear" w:color="auto" w:fill="auto"/>
        </w:rPr>
        <w:t>年</w:t>
      </w:r>
      <w:r>
        <w:rPr>
          <w:rFonts w:hint="eastAsia" w:ascii="宋体" w:hAnsi="宋体" w:eastAsia="宋体" w:cs="宋体"/>
          <w:color w:val="auto"/>
          <w:szCs w:val="24"/>
          <w:highlight w:val="none"/>
          <w:u w:val="single"/>
          <w:shd w:val="clear" w:color="auto" w:fill="auto"/>
          <w:lang w:val="en-US" w:eastAsia="zh-CN"/>
        </w:rPr>
        <w:t xml:space="preserve">   </w:t>
      </w:r>
      <w:r>
        <w:rPr>
          <w:rFonts w:hint="eastAsia" w:ascii="宋体" w:hAnsi="宋体" w:eastAsia="宋体" w:cs="宋体"/>
          <w:color w:val="auto"/>
          <w:szCs w:val="24"/>
          <w:highlight w:val="none"/>
          <w:shd w:val="clear" w:color="auto" w:fill="auto"/>
        </w:rPr>
        <w:t>月</w:t>
      </w:r>
      <w:r>
        <w:rPr>
          <w:rFonts w:hint="eastAsia" w:ascii="宋体" w:hAnsi="宋体" w:eastAsia="宋体" w:cs="宋体"/>
          <w:color w:val="auto"/>
          <w:szCs w:val="24"/>
          <w:highlight w:val="none"/>
          <w:u w:val="single"/>
          <w:shd w:val="clear" w:color="auto" w:fill="auto"/>
          <w:lang w:val="en-US" w:eastAsia="zh-CN"/>
        </w:rPr>
        <w:t xml:space="preserve">   </w:t>
      </w:r>
      <w:r>
        <w:rPr>
          <w:rFonts w:hint="eastAsia" w:ascii="宋体" w:hAnsi="宋体" w:eastAsia="宋体" w:cs="宋体"/>
          <w:color w:val="auto"/>
          <w:szCs w:val="24"/>
          <w:highlight w:val="none"/>
          <w:shd w:val="clear" w:color="auto" w:fill="auto"/>
        </w:rPr>
        <w:t>日参加你</w:t>
      </w:r>
      <w:r>
        <w:rPr>
          <w:rFonts w:hint="eastAsia" w:ascii="宋体" w:hAnsi="宋体" w:eastAsia="宋体" w:cs="宋体"/>
          <w:color w:val="auto"/>
          <w:szCs w:val="24"/>
          <w:highlight w:val="none"/>
          <w:shd w:val="clear" w:color="auto" w:fill="auto"/>
          <w:lang w:val="en-US" w:eastAsia="zh-CN"/>
        </w:rPr>
        <w:t>公司</w:t>
      </w:r>
      <w:r>
        <w:rPr>
          <w:rFonts w:hint="eastAsia" w:ascii="宋体" w:hAnsi="宋体" w:eastAsia="宋体" w:cs="宋体"/>
          <w:color w:val="auto"/>
          <w:szCs w:val="24"/>
          <w:highlight w:val="none"/>
          <w:u w:val="single"/>
          <w:shd w:val="clear" w:color="auto" w:fill="auto"/>
          <w:lang w:val="en-US" w:eastAsia="zh-CN"/>
        </w:rPr>
        <w:t xml:space="preserve">             </w:t>
      </w:r>
      <w:r>
        <w:rPr>
          <w:rFonts w:hint="eastAsia" w:ascii="宋体" w:hAnsi="宋体" w:eastAsia="宋体" w:cs="宋体"/>
          <w:color w:val="auto"/>
          <w:szCs w:val="24"/>
          <w:highlight w:val="none"/>
          <w:shd w:val="clear" w:color="auto" w:fill="auto"/>
          <w:lang w:eastAsia="zh-CN"/>
        </w:rPr>
        <w:t>（</w:t>
      </w:r>
      <w:r>
        <w:rPr>
          <w:rFonts w:hint="eastAsia" w:ascii="宋体" w:hAnsi="宋体" w:eastAsia="宋体" w:cs="宋体"/>
          <w:color w:val="auto"/>
          <w:szCs w:val="24"/>
          <w:highlight w:val="none"/>
          <w:shd w:val="clear" w:color="auto" w:fill="auto"/>
          <w:lang w:val="en-US" w:eastAsia="zh-CN"/>
        </w:rPr>
        <w:t>比选</w:t>
      </w:r>
      <w:r>
        <w:rPr>
          <w:rFonts w:hint="eastAsia" w:ascii="宋体" w:hAnsi="宋体" w:eastAsia="宋体" w:cs="宋体"/>
          <w:color w:val="auto"/>
          <w:szCs w:val="24"/>
          <w:highlight w:val="none"/>
          <w:shd w:val="clear" w:color="auto" w:fill="auto"/>
        </w:rPr>
        <w:t>项目名称</w:t>
      </w:r>
      <w:r>
        <w:rPr>
          <w:rFonts w:hint="eastAsia" w:ascii="宋体" w:hAnsi="宋体" w:eastAsia="宋体" w:cs="宋体"/>
          <w:color w:val="auto"/>
          <w:szCs w:val="24"/>
          <w:highlight w:val="none"/>
          <w:shd w:val="clear" w:color="auto" w:fill="auto"/>
          <w:lang w:eastAsia="zh-CN"/>
        </w:rPr>
        <w:t>）</w:t>
      </w:r>
      <w:r>
        <w:rPr>
          <w:rFonts w:hint="eastAsia" w:ascii="宋体" w:hAnsi="宋体" w:eastAsia="宋体" w:cs="宋体"/>
          <w:color w:val="auto"/>
          <w:szCs w:val="24"/>
          <w:highlight w:val="none"/>
          <w:u w:val="single"/>
          <w:shd w:val="clear" w:color="auto" w:fill="auto"/>
          <w:lang w:val="en-US" w:eastAsia="zh-CN"/>
        </w:rPr>
        <w:t xml:space="preserve">       </w:t>
      </w:r>
      <w:r>
        <w:rPr>
          <w:rFonts w:hint="eastAsia" w:ascii="宋体" w:hAnsi="宋体" w:eastAsia="宋体" w:cs="宋体"/>
          <w:color w:val="auto"/>
          <w:szCs w:val="24"/>
          <w:highlight w:val="none"/>
          <w:u w:val="single"/>
          <w:shd w:val="clear" w:color="auto" w:fill="auto"/>
        </w:rPr>
        <w:t>标段</w:t>
      </w:r>
      <w:r>
        <w:rPr>
          <w:rFonts w:hint="eastAsia" w:ascii="宋体" w:hAnsi="宋体" w:eastAsia="宋体" w:cs="宋体"/>
          <w:color w:val="auto"/>
          <w:szCs w:val="24"/>
          <w:highlight w:val="none"/>
          <w:shd w:val="clear" w:color="auto" w:fill="auto"/>
        </w:rPr>
        <w:t>比选，我公司在此承诺：</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lang w:val="en-US" w:eastAsia="zh-CN"/>
        </w:rPr>
        <w:t>1</w:t>
      </w:r>
      <w:r>
        <w:rPr>
          <w:rFonts w:hint="eastAsia" w:ascii="宋体" w:hAnsi="宋体" w:eastAsia="宋体" w:cs="宋体"/>
          <w:color w:val="auto"/>
          <w:szCs w:val="24"/>
          <w:highlight w:val="none"/>
          <w:shd w:val="clear" w:color="auto" w:fill="auto"/>
        </w:rPr>
        <w:t>.我公司未被“信用中国”网站（www.creditchina.gov.cn）列为失信被执行人；</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lang w:val="en-US" w:eastAsia="zh-CN"/>
        </w:rPr>
        <w:t>2</w:t>
      </w:r>
      <w:r>
        <w:rPr>
          <w:rFonts w:hint="eastAsia" w:ascii="宋体" w:hAnsi="宋体" w:eastAsia="宋体" w:cs="宋体"/>
          <w:color w:val="auto"/>
          <w:szCs w:val="24"/>
          <w:highlight w:val="none"/>
          <w:shd w:val="clear" w:color="auto" w:fill="auto"/>
        </w:rPr>
        <w:t>.我公司未被“国家企业信用信息公示系统”（www.gsxt.gov.cn）列入严重违法失信企业名单；</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Cs w:val="24"/>
          <w:highlight w:val="none"/>
          <w:shd w:val="clear" w:color="auto" w:fill="auto"/>
          <w:lang w:eastAsia="zh-CN"/>
        </w:rPr>
      </w:pPr>
      <w:r>
        <w:rPr>
          <w:rFonts w:hint="eastAsia" w:ascii="宋体" w:hAnsi="宋体" w:eastAsia="宋体" w:cs="宋体"/>
          <w:color w:val="auto"/>
          <w:szCs w:val="24"/>
          <w:highlight w:val="none"/>
          <w:shd w:val="clear" w:color="auto" w:fill="auto"/>
          <w:lang w:val="en-US" w:eastAsia="zh-CN"/>
        </w:rPr>
        <w:t>3</w:t>
      </w:r>
      <w:r>
        <w:rPr>
          <w:rFonts w:hint="eastAsia" w:ascii="宋体" w:hAnsi="宋体" w:eastAsia="宋体" w:cs="宋体"/>
          <w:color w:val="auto"/>
          <w:szCs w:val="24"/>
          <w:highlight w:val="none"/>
          <w:shd w:val="clear" w:color="auto" w:fill="auto"/>
        </w:rPr>
        <w:t>.我公司</w:t>
      </w:r>
      <w:r>
        <w:rPr>
          <w:rFonts w:hint="eastAsia" w:ascii="宋体" w:hAnsi="宋体" w:eastAsia="宋体" w:cs="宋体"/>
          <w:color w:val="auto"/>
          <w:szCs w:val="24"/>
          <w:highlight w:val="none"/>
          <w:shd w:val="clear" w:color="auto" w:fill="auto"/>
          <w:lang w:val="en-US" w:eastAsia="zh-CN"/>
        </w:rPr>
        <w:t>及</w:t>
      </w:r>
      <w:r>
        <w:rPr>
          <w:rFonts w:hint="eastAsia" w:ascii="宋体" w:hAnsi="宋体" w:eastAsia="宋体" w:cs="宋体"/>
          <w:color w:val="auto"/>
          <w:szCs w:val="24"/>
          <w:highlight w:val="none"/>
          <w:shd w:val="clear" w:color="auto" w:fill="auto"/>
        </w:rPr>
        <w:t>我公司法定代表人自</w:t>
      </w:r>
      <w:r>
        <w:rPr>
          <w:rFonts w:hint="eastAsia" w:ascii="宋体" w:hAnsi="宋体" w:eastAsia="宋体" w:cs="宋体"/>
          <w:color w:val="auto"/>
          <w:szCs w:val="24"/>
          <w:highlight w:val="none"/>
          <w:shd w:val="clear" w:color="auto" w:fill="auto"/>
          <w:lang w:eastAsia="zh-CN"/>
        </w:rPr>
        <w:t>2020年1月1日至比选申请文件递交截止日</w:t>
      </w:r>
      <w:r>
        <w:rPr>
          <w:rFonts w:hint="eastAsia" w:ascii="宋体" w:hAnsi="宋体" w:eastAsia="宋体" w:cs="宋体"/>
          <w:color w:val="auto"/>
          <w:szCs w:val="24"/>
          <w:highlight w:val="none"/>
          <w:shd w:val="clear" w:color="auto" w:fill="auto"/>
          <w:lang w:val="en-US" w:eastAsia="zh-CN"/>
        </w:rPr>
        <w:t>期间</w:t>
      </w:r>
      <w:r>
        <w:rPr>
          <w:rFonts w:hint="eastAsia" w:ascii="宋体" w:hAnsi="宋体" w:eastAsia="宋体" w:cs="宋体"/>
          <w:color w:val="auto"/>
          <w:szCs w:val="24"/>
          <w:highlight w:val="none"/>
          <w:shd w:val="clear" w:color="auto" w:fill="auto"/>
        </w:rPr>
        <w:t>无行贿犯罪行为。</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若经你</w:t>
      </w:r>
      <w:r>
        <w:rPr>
          <w:rFonts w:hint="eastAsia" w:ascii="宋体" w:hAnsi="宋体" w:eastAsia="宋体" w:cs="宋体"/>
          <w:color w:val="auto"/>
          <w:szCs w:val="24"/>
          <w:highlight w:val="none"/>
          <w:shd w:val="clear" w:color="auto" w:fill="auto"/>
          <w:lang w:val="en-US" w:eastAsia="zh-CN"/>
        </w:rPr>
        <w:t>公司</w:t>
      </w:r>
      <w:r>
        <w:rPr>
          <w:rFonts w:hint="eastAsia" w:ascii="宋体" w:hAnsi="宋体" w:eastAsia="宋体" w:cs="宋体"/>
          <w:color w:val="auto"/>
          <w:szCs w:val="24"/>
          <w:highlight w:val="none"/>
          <w:shd w:val="clear" w:color="auto" w:fill="auto"/>
        </w:rPr>
        <w:t>在上述网站查询我</w:t>
      </w:r>
      <w:r>
        <w:rPr>
          <w:rFonts w:hint="eastAsia" w:ascii="宋体" w:hAnsi="宋体" w:eastAsia="宋体" w:cs="宋体"/>
          <w:color w:val="auto"/>
          <w:szCs w:val="24"/>
          <w:highlight w:val="none"/>
          <w:shd w:val="clear" w:color="auto" w:fill="auto"/>
          <w:lang w:val="en-US" w:eastAsia="zh-CN"/>
        </w:rPr>
        <w:t>公司</w:t>
      </w:r>
      <w:r>
        <w:rPr>
          <w:rFonts w:hint="eastAsia" w:ascii="宋体" w:hAnsi="宋体" w:eastAsia="宋体" w:cs="宋体"/>
          <w:color w:val="auto"/>
          <w:szCs w:val="24"/>
          <w:highlight w:val="none"/>
          <w:shd w:val="clear" w:color="auto" w:fill="auto"/>
        </w:rPr>
        <w:t>存在以上不良信誉情况，我</w:t>
      </w:r>
      <w:r>
        <w:rPr>
          <w:rFonts w:hint="eastAsia" w:ascii="宋体" w:hAnsi="宋体" w:eastAsia="宋体" w:cs="宋体"/>
          <w:color w:val="auto"/>
          <w:szCs w:val="24"/>
          <w:highlight w:val="none"/>
          <w:shd w:val="clear" w:color="auto" w:fill="auto"/>
          <w:lang w:val="en-US" w:eastAsia="zh-CN"/>
        </w:rPr>
        <w:t>公司</w:t>
      </w:r>
      <w:r>
        <w:rPr>
          <w:rFonts w:hint="eastAsia" w:ascii="宋体" w:hAnsi="宋体" w:eastAsia="宋体" w:cs="宋体"/>
          <w:color w:val="auto"/>
          <w:szCs w:val="24"/>
          <w:highlight w:val="none"/>
          <w:shd w:val="clear" w:color="auto" w:fill="auto"/>
        </w:rPr>
        <w:t>无条件接受你</w:t>
      </w:r>
      <w:r>
        <w:rPr>
          <w:rFonts w:hint="eastAsia" w:ascii="宋体" w:hAnsi="宋体" w:eastAsia="宋体" w:cs="宋体"/>
          <w:color w:val="auto"/>
          <w:szCs w:val="24"/>
          <w:highlight w:val="none"/>
          <w:shd w:val="clear" w:color="auto" w:fill="auto"/>
          <w:lang w:val="en-US" w:eastAsia="zh-CN"/>
        </w:rPr>
        <w:t>公司任何形式的处罚</w:t>
      </w:r>
      <w:r>
        <w:rPr>
          <w:rFonts w:hint="eastAsia" w:ascii="宋体" w:hAnsi="宋体" w:eastAsia="宋体" w:cs="宋体"/>
          <w:color w:val="auto"/>
          <w:szCs w:val="24"/>
          <w:highlight w:val="none"/>
          <w:shd w:val="clear" w:color="auto" w:fill="auto"/>
        </w:rPr>
        <w:t>。</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以上承诺真实有效，若我公司作出虚假承诺，我公司愿赔偿你公司一切损失。</w:t>
      </w:r>
    </w:p>
    <w:p>
      <w:pPr>
        <w:pStyle w:val="19"/>
        <w:rPr>
          <w:rFonts w:hint="eastAsia" w:ascii="宋体" w:hAnsi="宋体" w:eastAsia="宋体" w:cs="宋体"/>
          <w:color w:val="auto"/>
          <w:szCs w:val="24"/>
          <w:highlight w:val="none"/>
          <w:shd w:val="clear" w:color="auto" w:fill="auto"/>
        </w:rPr>
      </w:pPr>
    </w:p>
    <w:p>
      <w:pPr>
        <w:rPr>
          <w:rFonts w:hint="eastAsia" w:ascii="宋体" w:hAnsi="宋体" w:eastAsia="宋体" w:cs="宋体"/>
          <w:color w:val="auto"/>
          <w:szCs w:val="24"/>
          <w:highlight w:val="none"/>
          <w:shd w:val="clear" w:color="auto" w:fill="auto"/>
        </w:rPr>
      </w:pPr>
    </w:p>
    <w:p>
      <w:pPr>
        <w:pStyle w:val="19"/>
        <w:rPr>
          <w:rFonts w:hint="eastAsia" w:ascii="宋体" w:hAnsi="宋体" w:eastAsia="宋体" w:cs="宋体"/>
          <w:color w:val="auto"/>
          <w:highlight w:val="none"/>
        </w:rPr>
      </w:pPr>
    </w:p>
    <w:p>
      <w:pPr>
        <w:ind w:firstLine="210" w:firstLineChars="100"/>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比选申请人：</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（盖单位章）</w:t>
      </w:r>
    </w:p>
    <w:p>
      <w:pPr>
        <w:ind w:firstLine="210" w:firstLineChars="100"/>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法定代表人或其委托代理人：</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亲笔</w:t>
      </w:r>
      <w:r>
        <w:rPr>
          <w:rFonts w:hint="eastAsia" w:ascii="宋体" w:hAnsi="宋体" w:eastAsia="宋体" w:cs="宋体"/>
          <w:color w:val="auto"/>
          <w:sz w:val="21"/>
          <w:szCs w:val="21"/>
          <w:highlight w:val="none"/>
          <w:shd w:val="clear" w:color="auto" w:fill="auto"/>
        </w:rPr>
        <w:t>签字）</w:t>
      </w:r>
    </w:p>
    <w:p>
      <w:pPr>
        <w:jc w:val="right"/>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rPr>
        <w:t>日</w:t>
      </w:r>
    </w:p>
    <w:p>
      <w:pPr>
        <w:pStyle w:val="2"/>
        <w:rPr>
          <w:color w:val="auto"/>
          <w:highlight w:val="none"/>
        </w:rPr>
      </w:pPr>
    </w:p>
    <w:p>
      <w:pPr>
        <w:spacing w:after="160" w:line="259" w:lineRule="auto"/>
        <w:rPr>
          <w:rFonts w:hint="eastAsia"/>
          <w:color w:val="auto"/>
          <w:highlight w:val="none"/>
        </w:rPr>
      </w:pPr>
      <w:r>
        <w:rPr>
          <w:rFonts w:hint="eastAsia" w:ascii="宋体" w:hAnsi="宋体" w:cs="宋体"/>
          <w:color w:val="auto"/>
          <w:szCs w:val="21"/>
          <w:highlight w:val="none"/>
        </w:rPr>
        <w:br w:type="page"/>
      </w:r>
    </w:p>
    <w:p>
      <w:pPr>
        <w:pStyle w:val="5"/>
        <w:rPr>
          <w:rFonts w:ascii="宋体" w:hAnsi="宋体" w:eastAsia="宋体" w:cs="宋体"/>
          <w:color w:val="auto"/>
          <w:highlight w:val="none"/>
        </w:rPr>
      </w:pPr>
      <w:r>
        <w:rPr>
          <w:rFonts w:hint="eastAsia" w:ascii="宋体" w:hAnsi="宋体" w:eastAsia="宋体" w:cs="宋体"/>
          <w:color w:val="auto"/>
          <w:highlight w:val="none"/>
        </w:rPr>
        <w:t>六、拟供设备技术性能指标的详细描述</w:t>
      </w:r>
    </w:p>
    <w:p>
      <w:pPr>
        <w:ind w:firstLine="420" w:firstLineChars="200"/>
        <w:rPr>
          <w:color w:val="auto"/>
          <w:highlight w:val="none"/>
        </w:rPr>
      </w:pPr>
      <w:r>
        <w:rPr>
          <w:rFonts w:hint="eastAsia"/>
          <w:color w:val="auto"/>
          <w:highlight w:val="none"/>
        </w:rPr>
        <w:t>比选申请人在此按照供货要求中的技术性能指标要求，逐条对拟供设备技术性能指标进行详细描述。描述不完整或技术性能指标不符合供货要求中的技术性能指标要求的，其比选申请将被否决。</w:t>
      </w:r>
    </w:p>
    <w:p>
      <w:pPr>
        <w:spacing w:after="160" w:line="259" w:lineRule="auto"/>
        <w:rPr>
          <w:rFonts w:ascii="宋体" w:hAnsi="宋体" w:cs="宋体"/>
          <w:color w:val="auto"/>
          <w:szCs w:val="21"/>
          <w:highlight w:val="none"/>
        </w:rPr>
      </w:pPr>
      <w:r>
        <w:rPr>
          <w:rFonts w:hint="eastAsia" w:ascii="宋体" w:hAnsi="宋体" w:cs="宋体"/>
          <w:color w:val="auto"/>
          <w:szCs w:val="21"/>
          <w:highlight w:val="none"/>
        </w:rPr>
        <w:br w:type="page"/>
      </w:r>
    </w:p>
    <w:p>
      <w:pPr>
        <w:pStyle w:val="5"/>
        <w:rPr>
          <w:rFonts w:ascii="宋体" w:hAnsi="宋体" w:eastAsia="宋体" w:cs="宋体"/>
          <w:color w:val="auto"/>
          <w:highlight w:val="none"/>
        </w:rPr>
      </w:pPr>
      <w:r>
        <w:rPr>
          <w:rFonts w:hint="eastAsia" w:ascii="宋体" w:hAnsi="宋体" w:eastAsia="宋体" w:cs="宋体"/>
          <w:color w:val="auto"/>
          <w:highlight w:val="none"/>
        </w:rPr>
        <w:t>七、技术支持资料</w:t>
      </w:r>
    </w:p>
    <w:p>
      <w:pPr>
        <w:rPr>
          <w:rFonts w:ascii="宋体" w:hAnsi="宋体" w:cs="宋体"/>
          <w:color w:val="auto"/>
          <w:highlight w:val="none"/>
        </w:rPr>
      </w:pPr>
    </w:p>
    <w:p>
      <w:pPr>
        <w:pStyle w:val="87"/>
        <w:numPr>
          <w:ilvl w:val="0"/>
          <w:numId w:val="7"/>
        </w:numPr>
        <w:ind w:firstLineChars="0"/>
        <w:rPr>
          <w:rFonts w:ascii="宋体" w:hAnsi="宋体" w:cs="宋体"/>
          <w:color w:val="auto"/>
          <w:highlight w:val="none"/>
        </w:rPr>
      </w:pPr>
      <w:r>
        <w:rPr>
          <w:rFonts w:hint="eastAsia" w:ascii="宋体" w:hAnsi="宋体" w:cs="宋体"/>
          <w:color w:val="auto"/>
          <w:highlight w:val="none"/>
        </w:rPr>
        <w:t>设备纸质样本资料</w:t>
      </w:r>
    </w:p>
    <w:p>
      <w:pPr>
        <w:pStyle w:val="87"/>
        <w:numPr>
          <w:ilvl w:val="0"/>
          <w:numId w:val="7"/>
        </w:numPr>
        <w:ind w:firstLineChars="0"/>
        <w:rPr>
          <w:rFonts w:ascii="宋体" w:hAnsi="宋体" w:cs="宋体"/>
          <w:color w:val="auto"/>
          <w:highlight w:val="none"/>
        </w:rPr>
      </w:pPr>
      <w:r>
        <w:rPr>
          <w:rFonts w:hint="eastAsia"/>
          <w:color w:val="auto"/>
          <w:highlight w:val="none"/>
        </w:rPr>
        <w:t>供货要求中要求提供的检测报告、CCC认证等（提供的资料缺、漏或者不完整，比选申请文件将被否决）</w:t>
      </w:r>
    </w:p>
    <w:p>
      <w:pPr>
        <w:numPr>
          <w:ilvl w:val="0"/>
          <w:numId w:val="7"/>
        </w:numPr>
        <w:rPr>
          <w:rFonts w:ascii="宋体" w:hAnsi="宋体" w:cs="宋体"/>
          <w:color w:val="auto"/>
          <w:highlight w:val="none"/>
        </w:rPr>
      </w:pPr>
      <w:r>
        <w:rPr>
          <w:rFonts w:hint="eastAsia" w:ascii="宋体" w:hAnsi="宋体" w:cs="宋体"/>
          <w:color w:val="auto"/>
          <w:highlight w:val="none"/>
        </w:rPr>
        <w:t>其它技术支持资料（如果有）</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sectPr>
          <w:type w:val="continuous"/>
          <w:pgSz w:w="12240" w:h="15840"/>
          <w:pgMar w:top="1440" w:right="1800" w:bottom="1440" w:left="1800" w:header="720" w:footer="720" w:gutter="0"/>
          <w:cols w:space="720" w:num="1"/>
          <w:docGrid w:linePitch="285" w:charSpace="0"/>
        </w:sectPr>
      </w:pPr>
    </w:p>
    <w:p>
      <w:pPr>
        <w:pStyle w:val="5"/>
        <w:rPr>
          <w:rFonts w:ascii="宋体" w:hAnsi="宋体" w:eastAsia="宋体" w:cs="宋体"/>
          <w:color w:val="auto"/>
          <w:highlight w:val="none"/>
        </w:rPr>
      </w:pPr>
      <w:bookmarkStart w:id="243" w:name="_Toc491883247"/>
      <w:r>
        <w:rPr>
          <w:rFonts w:hint="eastAsia" w:ascii="宋体" w:hAnsi="宋体" w:eastAsia="宋体" w:cs="宋体"/>
          <w:color w:val="auto"/>
          <w:highlight w:val="none"/>
        </w:rPr>
        <w:t>八、技术服务和质保期服务计划</w:t>
      </w:r>
      <w:bookmarkEnd w:id="243"/>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szCs w:val="21"/>
          <w:highlight w:val="none"/>
        </w:rPr>
        <w:t>技术服务和质保期服务计划</w:t>
      </w:r>
      <w:r>
        <w:rPr>
          <w:rFonts w:hint="eastAsia" w:ascii="宋体" w:hAnsi="宋体" w:cs="宋体"/>
          <w:color w:val="auto"/>
          <w:highlight w:val="none"/>
        </w:rPr>
        <w:t>包括以下内容（文字宜精炼，内容具有针对性）：</w:t>
      </w:r>
    </w:p>
    <w:p>
      <w:pPr>
        <w:rPr>
          <w:rFonts w:ascii="宋体" w:hAnsi="宋体" w:cs="宋体"/>
          <w:color w:val="auto"/>
          <w:highlight w:val="none"/>
        </w:rPr>
      </w:pPr>
      <w:r>
        <w:rPr>
          <w:rFonts w:hint="eastAsia" w:ascii="宋体" w:hAnsi="宋体" w:cs="宋体"/>
          <w:color w:val="auto"/>
          <w:highlight w:val="none"/>
        </w:rPr>
        <w:t>（1）生产制造进度计划、设备运输实施方案及保障措施；</w:t>
      </w:r>
    </w:p>
    <w:p>
      <w:pPr>
        <w:rPr>
          <w:rFonts w:ascii="宋体" w:hAnsi="宋体" w:cs="宋体"/>
          <w:color w:val="auto"/>
          <w:highlight w:val="none"/>
        </w:rPr>
      </w:pPr>
      <w:r>
        <w:rPr>
          <w:rFonts w:hint="eastAsia" w:ascii="宋体" w:hAnsi="宋体" w:cs="宋体"/>
          <w:color w:val="auto"/>
          <w:highlight w:val="none"/>
        </w:rPr>
        <w:t>（2）安装实施计划；</w:t>
      </w:r>
    </w:p>
    <w:p>
      <w:pPr>
        <w:rPr>
          <w:rFonts w:ascii="宋体" w:hAnsi="宋体" w:cs="宋体"/>
          <w:color w:val="auto"/>
          <w:highlight w:val="none"/>
        </w:rPr>
      </w:pPr>
      <w:r>
        <w:rPr>
          <w:rFonts w:hint="eastAsia" w:ascii="宋体" w:hAnsi="宋体" w:cs="宋体"/>
          <w:color w:val="auto"/>
          <w:highlight w:val="none"/>
        </w:rPr>
        <w:t>（3）确保设备质量的措施；</w:t>
      </w:r>
    </w:p>
    <w:p>
      <w:pPr>
        <w:rPr>
          <w:rFonts w:ascii="宋体" w:hAnsi="宋体" w:cs="宋体"/>
          <w:color w:val="auto"/>
          <w:highlight w:val="none"/>
        </w:rPr>
      </w:pPr>
      <w:r>
        <w:rPr>
          <w:rFonts w:hint="eastAsia" w:ascii="宋体" w:hAnsi="宋体" w:cs="宋体"/>
          <w:color w:val="auto"/>
          <w:highlight w:val="none"/>
        </w:rPr>
        <w:t>（4）售后技术服务体系及措施；</w:t>
      </w:r>
    </w:p>
    <w:p>
      <w:pPr>
        <w:rPr>
          <w:rFonts w:ascii="宋体" w:hAnsi="宋体" w:cs="宋体"/>
          <w:color w:val="auto"/>
          <w:highlight w:val="none"/>
        </w:rPr>
      </w:pPr>
      <w:r>
        <w:rPr>
          <w:rFonts w:hint="eastAsia" w:ascii="宋体" w:hAnsi="宋体" w:cs="宋体"/>
          <w:color w:val="auto"/>
          <w:highlight w:val="none"/>
        </w:rPr>
        <w:t>（5）质保期服务计划；</w:t>
      </w:r>
    </w:p>
    <w:p>
      <w:pPr>
        <w:rPr>
          <w:rFonts w:ascii="宋体" w:hAnsi="宋体" w:cs="宋体"/>
          <w:color w:val="auto"/>
          <w:highlight w:val="none"/>
        </w:rPr>
      </w:pPr>
      <w:r>
        <w:rPr>
          <w:rFonts w:hint="eastAsia" w:ascii="宋体" w:hAnsi="宋体" w:cs="宋体"/>
          <w:color w:val="auto"/>
          <w:highlight w:val="none"/>
        </w:rPr>
        <w:t>（6）其他应说明的事项。</w:t>
      </w:r>
    </w:p>
    <w:p>
      <w:pPr>
        <w:rPr>
          <w:rFonts w:ascii="宋体" w:hAnsi="宋体" w:cs="宋体"/>
          <w:color w:val="auto"/>
          <w:highlight w:val="none"/>
        </w:rPr>
      </w:pPr>
    </w:p>
    <w:p>
      <w:pPr>
        <w:spacing w:after="160" w:line="259" w:lineRule="auto"/>
        <w:rPr>
          <w:rFonts w:ascii="宋体" w:hAnsi="宋体" w:cs="宋体"/>
          <w:b/>
          <w:color w:val="auto"/>
          <w:sz w:val="28"/>
          <w:szCs w:val="28"/>
          <w:highlight w:val="none"/>
        </w:rPr>
      </w:pPr>
      <w:r>
        <w:rPr>
          <w:rFonts w:hint="eastAsia" w:ascii="宋体" w:hAnsi="宋体" w:cs="宋体"/>
          <w:color w:val="auto"/>
          <w:highlight w:val="none"/>
        </w:rPr>
        <w:br w:type="page"/>
      </w:r>
    </w:p>
    <w:p>
      <w:pPr>
        <w:pStyle w:val="5"/>
        <w:rPr>
          <w:rFonts w:ascii="宋体" w:hAnsi="宋体" w:eastAsia="宋体" w:cs="宋体"/>
          <w:color w:val="auto"/>
          <w:highlight w:val="none"/>
        </w:rPr>
      </w:pPr>
      <w:bookmarkStart w:id="244" w:name="_Toc491883248"/>
      <w:r>
        <w:rPr>
          <w:rFonts w:hint="eastAsia" w:ascii="宋体" w:hAnsi="宋体" w:eastAsia="宋体" w:cs="宋体"/>
          <w:color w:val="auto"/>
          <w:highlight w:val="none"/>
        </w:rPr>
        <w:t>九、其他资料</w:t>
      </w:r>
      <w:bookmarkEnd w:id="244"/>
    </w:p>
    <w:p>
      <w:pPr>
        <w:rPr>
          <w:rFonts w:ascii="宋体" w:hAnsi="宋体" w:cs="宋体"/>
          <w:color w:val="auto"/>
          <w:highlight w:val="none"/>
        </w:rPr>
      </w:pPr>
      <w:r>
        <w:rPr>
          <w:rFonts w:hint="eastAsia" w:ascii="宋体" w:hAnsi="宋体" w:cs="宋体"/>
          <w:color w:val="auto"/>
          <w:highlight w:val="none"/>
        </w:rPr>
        <w:t>其他相关资料，如：补遗书（如果有）等比选申请人认为有必要的其他资料。</w:t>
      </w:r>
    </w:p>
    <w:p>
      <w:pPr>
        <w:rPr>
          <w:rFonts w:ascii="宋体" w:hAnsi="宋体" w:cs="宋体"/>
          <w:color w:val="auto"/>
          <w:highlight w:val="none"/>
        </w:rPr>
      </w:pPr>
    </w:p>
    <w:p>
      <w:pPr>
        <w:spacing w:after="160" w:line="259" w:lineRule="auto"/>
        <w:rPr>
          <w:rFonts w:ascii="宋体" w:hAnsi="宋体" w:cs="宋体"/>
          <w:color w:val="auto"/>
          <w:highlight w:val="none"/>
        </w:rPr>
      </w:pPr>
    </w:p>
    <w:bookmarkEnd w:id="245"/>
    <w:sectPr>
      <w:pgSz w:w="12240" w:h="15840"/>
      <w:pgMar w:top="1440" w:right="1800" w:bottom="1440" w:left="1800"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315359"/>
    </w:sdtPr>
    <w:sdtContent>
      <w:p>
        <w:pPr>
          <w:pStyle w:val="26"/>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w:fldChar w:fldCharType="begin"/>
    </w:r>
    <w:r>
      <w:instrText xml:space="preserve"> PAGE   \* MERGEFORMAT </w:instrText>
    </w:r>
    <w:r>
      <w:fldChar w:fldCharType="separate"/>
    </w:r>
    <w:r>
      <w:rPr>
        <w:lang w:val="zh-CN"/>
      </w:rPr>
      <w:t>1</w:t>
    </w:r>
    <w:r>
      <w:rPr>
        <w:lang w:val="zh-CN"/>
      </w:rPr>
      <w:fldChar w:fldCharType="end"/>
    </w:r>
  </w:p>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5947310"/>
    </w:sdtPr>
    <w:sdtContent>
      <w:p>
        <w:pPr>
          <w:pStyle w:val="26"/>
          <w:jc w:val="center"/>
        </w:pPr>
        <w:r>
          <w:fldChar w:fldCharType="begin"/>
        </w:r>
        <w:r>
          <w:instrText xml:space="preserve">PAGE   \* MERGEFORMAT</w:instrText>
        </w:r>
        <w:r>
          <w:fldChar w:fldCharType="separate"/>
        </w:r>
        <w:r>
          <w:rPr>
            <w:lang w:val="zh-CN"/>
          </w:rPr>
          <w:t>37</w:t>
        </w:r>
        <w:r>
          <w:fldChar w:fldCharType="end"/>
        </w:r>
      </w:p>
    </w:sdtContent>
  </w:sdt>
  <w:p>
    <w:pPr>
      <w:pStyle w:val="1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B3948"/>
    <w:multiLevelType w:val="singleLevel"/>
    <w:tmpl w:val="939B3948"/>
    <w:lvl w:ilvl="0" w:tentative="0">
      <w:start w:val="1"/>
      <w:numFmt w:val="decimal"/>
      <w:suff w:val="nothing"/>
      <w:lvlText w:val="（%1）"/>
      <w:lvlJc w:val="left"/>
    </w:lvl>
  </w:abstractNum>
  <w:abstractNum w:abstractNumId="1">
    <w:nsid w:val="C2D13B7D"/>
    <w:multiLevelType w:val="singleLevel"/>
    <w:tmpl w:val="C2D13B7D"/>
    <w:lvl w:ilvl="0" w:tentative="0">
      <w:start w:val="3"/>
      <w:numFmt w:val="decimal"/>
      <w:suff w:val="nothing"/>
      <w:lvlText w:val="%1、"/>
      <w:lvlJc w:val="left"/>
    </w:lvl>
  </w:abstractNum>
  <w:abstractNum w:abstractNumId="2">
    <w:nsid w:val="0DCC0913"/>
    <w:multiLevelType w:val="multilevel"/>
    <w:tmpl w:val="0DCC0913"/>
    <w:lvl w:ilvl="0" w:tentative="0">
      <w:start w:val="1"/>
      <w:numFmt w:val="japaneseCounting"/>
      <w:lvlText w:val="%1、"/>
      <w:lvlJc w:val="left"/>
      <w:pPr>
        <w:tabs>
          <w:tab w:val="left" w:pos="420"/>
        </w:tabs>
        <w:ind w:left="420" w:hanging="420"/>
      </w:pPr>
      <w:rPr>
        <w:rFonts w:hint="eastAsia"/>
      </w:rPr>
    </w:lvl>
    <w:lvl w:ilvl="1" w:tentative="0">
      <w:start w:val="2"/>
      <w:numFmt w:val="decimal"/>
      <w:lvlText w:val="%2、"/>
      <w:lvlJc w:val="left"/>
      <w:pPr>
        <w:ind w:left="1260" w:hanging="360"/>
      </w:pPr>
      <w:rPr>
        <w:rFonts w:hint="default"/>
      </w:r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3">
    <w:nsid w:val="1E7D57A0"/>
    <w:multiLevelType w:val="multilevel"/>
    <w:tmpl w:val="1E7D57A0"/>
    <w:lvl w:ilvl="0" w:tentative="0">
      <w:start w:val="1"/>
      <w:numFmt w:val="bullet"/>
      <w:lvlText w:val=""/>
      <w:lvlJc w:val="left"/>
      <w:pPr>
        <w:tabs>
          <w:tab w:val="left" w:pos="1260"/>
        </w:tabs>
        <w:ind w:left="1260" w:hanging="420"/>
      </w:pPr>
      <w:rPr>
        <w:rFonts w:hint="default" w:ascii="Wingdings" w:hAnsi="Wingdings"/>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2964EB3B"/>
    <w:multiLevelType w:val="singleLevel"/>
    <w:tmpl w:val="2964EB3B"/>
    <w:lvl w:ilvl="0" w:tentative="0">
      <w:start w:val="3"/>
      <w:numFmt w:val="chineseCounting"/>
      <w:suff w:val="nothing"/>
      <w:lvlText w:val="（%1）"/>
      <w:lvlJc w:val="left"/>
      <w:rPr>
        <w:rFonts w:hint="eastAsia"/>
      </w:rPr>
    </w:lvl>
  </w:abstractNum>
  <w:abstractNum w:abstractNumId="5">
    <w:nsid w:val="3A678A60"/>
    <w:multiLevelType w:val="singleLevel"/>
    <w:tmpl w:val="3A678A60"/>
    <w:lvl w:ilvl="0" w:tentative="0">
      <w:start w:val="4"/>
      <w:numFmt w:val="decimal"/>
      <w:suff w:val="space"/>
      <w:lvlText w:val="%1．"/>
      <w:lvlJc w:val="left"/>
    </w:lvl>
  </w:abstractNum>
  <w:abstractNum w:abstractNumId="6">
    <w:nsid w:val="5C945F53"/>
    <w:multiLevelType w:val="multilevel"/>
    <w:tmpl w:val="5C945F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M2I3ZDZmZjFlNzg1ODExYzkyOTc1MTgzYjI1NDgifQ=="/>
  </w:docVars>
  <w:rsids>
    <w:rsidRoot w:val="00172A27"/>
    <w:rsid w:val="00000DA4"/>
    <w:rsid w:val="00002A60"/>
    <w:rsid w:val="00004603"/>
    <w:rsid w:val="000060BD"/>
    <w:rsid w:val="0000638B"/>
    <w:rsid w:val="00006BA0"/>
    <w:rsid w:val="0000717E"/>
    <w:rsid w:val="00007319"/>
    <w:rsid w:val="000100B0"/>
    <w:rsid w:val="000106AE"/>
    <w:rsid w:val="00010B53"/>
    <w:rsid w:val="000114A3"/>
    <w:rsid w:val="0001224D"/>
    <w:rsid w:val="000122C9"/>
    <w:rsid w:val="00012703"/>
    <w:rsid w:val="00013915"/>
    <w:rsid w:val="000146D8"/>
    <w:rsid w:val="0001485E"/>
    <w:rsid w:val="00015754"/>
    <w:rsid w:val="00015AAE"/>
    <w:rsid w:val="000161B2"/>
    <w:rsid w:val="00016F05"/>
    <w:rsid w:val="000172DF"/>
    <w:rsid w:val="0002193F"/>
    <w:rsid w:val="00021BFE"/>
    <w:rsid w:val="0002340C"/>
    <w:rsid w:val="000236DD"/>
    <w:rsid w:val="000250D6"/>
    <w:rsid w:val="00025ACC"/>
    <w:rsid w:val="00025EC4"/>
    <w:rsid w:val="00026171"/>
    <w:rsid w:val="00026A6A"/>
    <w:rsid w:val="000303E1"/>
    <w:rsid w:val="00030619"/>
    <w:rsid w:val="00031ED4"/>
    <w:rsid w:val="000327D7"/>
    <w:rsid w:val="00033312"/>
    <w:rsid w:val="000351AE"/>
    <w:rsid w:val="0003542F"/>
    <w:rsid w:val="00035B45"/>
    <w:rsid w:val="00041322"/>
    <w:rsid w:val="00041EA3"/>
    <w:rsid w:val="00043282"/>
    <w:rsid w:val="00043407"/>
    <w:rsid w:val="00043778"/>
    <w:rsid w:val="00044512"/>
    <w:rsid w:val="00044653"/>
    <w:rsid w:val="00044A10"/>
    <w:rsid w:val="00044A12"/>
    <w:rsid w:val="00044F13"/>
    <w:rsid w:val="00044F7E"/>
    <w:rsid w:val="00046ABB"/>
    <w:rsid w:val="00050F52"/>
    <w:rsid w:val="00050F57"/>
    <w:rsid w:val="000517EF"/>
    <w:rsid w:val="00051E22"/>
    <w:rsid w:val="0005308C"/>
    <w:rsid w:val="00053EB1"/>
    <w:rsid w:val="0005561B"/>
    <w:rsid w:val="00060CC8"/>
    <w:rsid w:val="00060E41"/>
    <w:rsid w:val="000614AA"/>
    <w:rsid w:val="000622EC"/>
    <w:rsid w:val="00062AC6"/>
    <w:rsid w:val="00063888"/>
    <w:rsid w:val="00063B71"/>
    <w:rsid w:val="000660F7"/>
    <w:rsid w:val="00067035"/>
    <w:rsid w:val="00071FA8"/>
    <w:rsid w:val="00071FD8"/>
    <w:rsid w:val="000762B8"/>
    <w:rsid w:val="00080028"/>
    <w:rsid w:val="0008132B"/>
    <w:rsid w:val="00081360"/>
    <w:rsid w:val="0008253E"/>
    <w:rsid w:val="00086067"/>
    <w:rsid w:val="000866A7"/>
    <w:rsid w:val="00087325"/>
    <w:rsid w:val="00090358"/>
    <w:rsid w:val="00090887"/>
    <w:rsid w:val="00090FEB"/>
    <w:rsid w:val="0009333A"/>
    <w:rsid w:val="00093375"/>
    <w:rsid w:val="000943B0"/>
    <w:rsid w:val="00094C66"/>
    <w:rsid w:val="00095CD2"/>
    <w:rsid w:val="00096C56"/>
    <w:rsid w:val="00096DC3"/>
    <w:rsid w:val="0009741C"/>
    <w:rsid w:val="000978E0"/>
    <w:rsid w:val="00097C21"/>
    <w:rsid w:val="000A059B"/>
    <w:rsid w:val="000A0B64"/>
    <w:rsid w:val="000A287B"/>
    <w:rsid w:val="000A290A"/>
    <w:rsid w:val="000A3115"/>
    <w:rsid w:val="000A3A1D"/>
    <w:rsid w:val="000A3BA7"/>
    <w:rsid w:val="000A4482"/>
    <w:rsid w:val="000A49AC"/>
    <w:rsid w:val="000A4F72"/>
    <w:rsid w:val="000A5C81"/>
    <w:rsid w:val="000A62C8"/>
    <w:rsid w:val="000A6735"/>
    <w:rsid w:val="000A754F"/>
    <w:rsid w:val="000A76B3"/>
    <w:rsid w:val="000A7D24"/>
    <w:rsid w:val="000B000F"/>
    <w:rsid w:val="000B2C6E"/>
    <w:rsid w:val="000B390A"/>
    <w:rsid w:val="000B4439"/>
    <w:rsid w:val="000B4D50"/>
    <w:rsid w:val="000B4F06"/>
    <w:rsid w:val="000B65E2"/>
    <w:rsid w:val="000C0018"/>
    <w:rsid w:val="000C00CE"/>
    <w:rsid w:val="000C1A9B"/>
    <w:rsid w:val="000C2AB5"/>
    <w:rsid w:val="000C2F69"/>
    <w:rsid w:val="000C4120"/>
    <w:rsid w:val="000C4710"/>
    <w:rsid w:val="000C6281"/>
    <w:rsid w:val="000C69FF"/>
    <w:rsid w:val="000C6DF6"/>
    <w:rsid w:val="000D04AD"/>
    <w:rsid w:val="000D0E8E"/>
    <w:rsid w:val="000D338B"/>
    <w:rsid w:val="000D4336"/>
    <w:rsid w:val="000D433E"/>
    <w:rsid w:val="000D49B4"/>
    <w:rsid w:val="000D4E08"/>
    <w:rsid w:val="000D5687"/>
    <w:rsid w:val="000D6514"/>
    <w:rsid w:val="000E08CB"/>
    <w:rsid w:val="000E2805"/>
    <w:rsid w:val="000E5673"/>
    <w:rsid w:val="000E596F"/>
    <w:rsid w:val="000F040C"/>
    <w:rsid w:val="000F0D1C"/>
    <w:rsid w:val="000F2186"/>
    <w:rsid w:val="000F2A12"/>
    <w:rsid w:val="000F2ECC"/>
    <w:rsid w:val="000F6666"/>
    <w:rsid w:val="000F7641"/>
    <w:rsid w:val="00100786"/>
    <w:rsid w:val="001011FC"/>
    <w:rsid w:val="00102618"/>
    <w:rsid w:val="001043DB"/>
    <w:rsid w:val="00105056"/>
    <w:rsid w:val="00105423"/>
    <w:rsid w:val="00107E47"/>
    <w:rsid w:val="00110A8C"/>
    <w:rsid w:val="001119B6"/>
    <w:rsid w:val="00115124"/>
    <w:rsid w:val="0011583F"/>
    <w:rsid w:val="00115848"/>
    <w:rsid w:val="001159B9"/>
    <w:rsid w:val="00117F0F"/>
    <w:rsid w:val="0012076B"/>
    <w:rsid w:val="0012176A"/>
    <w:rsid w:val="00125FD8"/>
    <w:rsid w:val="00130AAB"/>
    <w:rsid w:val="0013146C"/>
    <w:rsid w:val="00132E74"/>
    <w:rsid w:val="001338D4"/>
    <w:rsid w:val="00137FE3"/>
    <w:rsid w:val="0014098E"/>
    <w:rsid w:val="0014136C"/>
    <w:rsid w:val="001424FB"/>
    <w:rsid w:val="00144AB0"/>
    <w:rsid w:val="00150330"/>
    <w:rsid w:val="0015138F"/>
    <w:rsid w:val="00151FFB"/>
    <w:rsid w:val="001530C6"/>
    <w:rsid w:val="00153816"/>
    <w:rsid w:val="00153B32"/>
    <w:rsid w:val="0015596B"/>
    <w:rsid w:val="00156D68"/>
    <w:rsid w:val="00157217"/>
    <w:rsid w:val="00157623"/>
    <w:rsid w:val="00157944"/>
    <w:rsid w:val="00157BB6"/>
    <w:rsid w:val="00157D37"/>
    <w:rsid w:val="001613DD"/>
    <w:rsid w:val="0016261C"/>
    <w:rsid w:val="001633E9"/>
    <w:rsid w:val="00163A79"/>
    <w:rsid w:val="001658EF"/>
    <w:rsid w:val="001660A5"/>
    <w:rsid w:val="001666F2"/>
    <w:rsid w:val="001669C9"/>
    <w:rsid w:val="0017073C"/>
    <w:rsid w:val="00170B5E"/>
    <w:rsid w:val="00170DFA"/>
    <w:rsid w:val="00171482"/>
    <w:rsid w:val="00172A27"/>
    <w:rsid w:val="00172CD4"/>
    <w:rsid w:val="00172DB4"/>
    <w:rsid w:val="001735B4"/>
    <w:rsid w:val="0017368F"/>
    <w:rsid w:val="001748A3"/>
    <w:rsid w:val="00174F71"/>
    <w:rsid w:val="001759A2"/>
    <w:rsid w:val="00175F7A"/>
    <w:rsid w:val="001777B0"/>
    <w:rsid w:val="001828C2"/>
    <w:rsid w:val="00182B11"/>
    <w:rsid w:val="00183B4A"/>
    <w:rsid w:val="001847F2"/>
    <w:rsid w:val="0018527F"/>
    <w:rsid w:val="00187CA9"/>
    <w:rsid w:val="00192979"/>
    <w:rsid w:val="00192E22"/>
    <w:rsid w:val="00193C1D"/>
    <w:rsid w:val="00194E75"/>
    <w:rsid w:val="00195762"/>
    <w:rsid w:val="00195A99"/>
    <w:rsid w:val="0019616E"/>
    <w:rsid w:val="00196869"/>
    <w:rsid w:val="00197AD8"/>
    <w:rsid w:val="001A093D"/>
    <w:rsid w:val="001A0A24"/>
    <w:rsid w:val="001A0CCF"/>
    <w:rsid w:val="001A1F8C"/>
    <w:rsid w:val="001A2B51"/>
    <w:rsid w:val="001A2E05"/>
    <w:rsid w:val="001A4491"/>
    <w:rsid w:val="001A4684"/>
    <w:rsid w:val="001A6B23"/>
    <w:rsid w:val="001B175C"/>
    <w:rsid w:val="001B4929"/>
    <w:rsid w:val="001B5531"/>
    <w:rsid w:val="001B7FEF"/>
    <w:rsid w:val="001C0A16"/>
    <w:rsid w:val="001C2501"/>
    <w:rsid w:val="001C30C7"/>
    <w:rsid w:val="001C38D5"/>
    <w:rsid w:val="001C548E"/>
    <w:rsid w:val="001C5A5E"/>
    <w:rsid w:val="001C5CF2"/>
    <w:rsid w:val="001D10C7"/>
    <w:rsid w:val="001D2222"/>
    <w:rsid w:val="001D74FB"/>
    <w:rsid w:val="001E0011"/>
    <w:rsid w:val="001E0E58"/>
    <w:rsid w:val="001E1433"/>
    <w:rsid w:val="001E201E"/>
    <w:rsid w:val="001E45D6"/>
    <w:rsid w:val="001E6637"/>
    <w:rsid w:val="001E741A"/>
    <w:rsid w:val="001F082E"/>
    <w:rsid w:val="001F0A73"/>
    <w:rsid w:val="001F0C87"/>
    <w:rsid w:val="001F0EAA"/>
    <w:rsid w:val="001F1630"/>
    <w:rsid w:val="001F2208"/>
    <w:rsid w:val="001F4134"/>
    <w:rsid w:val="001F45EE"/>
    <w:rsid w:val="001F4850"/>
    <w:rsid w:val="001F4C95"/>
    <w:rsid w:val="001F5634"/>
    <w:rsid w:val="001F5EEA"/>
    <w:rsid w:val="001F671F"/>
    <w:rsid w:val="001F69F2"/>
    <w:rsid w:val="001F7947"/>
    <w:rsid w:val="00204A5C"/>
    <w:rsid w:val="00204E41"/>
    <w:rsid w:val="002050C8"/>
    <w:rsid w:val="00205C87"/>
    <w:rsid w:val="002066C1"/>
    <w:rsid w:val="00206D1B"/>
    <w:rsid w:val="002073A5"/>
    <w:rsid w:val="0020741E"/>
    <w:rsid w:val="00207A0B"/>
    <w:rsid w:val="0021051E"/>
    <w:rsid w:val="00212A53"/>
    <w:rsid w:val="0021322F"/>
    <w:rsid w:val="00213B90"/>
    <w:rsid w:val="00213D2A"/>
    <w:rsid w:val="00215AF0"/>
    <w:rsid w:val="00216936"/>
    <w:rsid w:val="00216B2F"/>
    <w:rsid w:val="00217B52"/>
    <w:rsid w:val="00217DE7"/>
    <w:rsid w:val="002229E2"/>
    <w:rsid w:val="0022434B"/>
    <w:rsid w:val="00225E6B"/>
    <w:rsid w:val="00226BE3"/>
    <w:rsid w:val="002334E4"/>
    <w:rsid w:val="0023423F"/>
    <w:rsid w:val="00236570"/>
    <w:rsid w:val="00236A6D"/>
    <w:rsid w:val="00237422"/>
    <w:rsid w:val="00237B0E"/>
    <w:rsid w:val="002401EB"/>
    <w:rsid w:val="00240884"/>
    <w:rsid w:val="00240BE7"/>
    <w:rsid w:val="00241B6F"/>
    <w:rsid w:val="00241E73"/>
    <w:rsid w:val="00242DA8"/>
    <w:rsid w:val="00243035"/>
    <w:rsid w:val="002430C2"/>
    <w:rsid w:val="00243D08"/>
    <w:rsid w:val="00243DF4"/>
    <w:rsid w:val="00243FEF"/>
    <w:rsid w:val="00244A2A"/>
    <w:rsid w:val="00244ED8"/>
    <w:rsid w:val="002452F0"/>
    <w:rsid w:val="002470B0"/>
    <w:rsid w:val="00251109"/>
    <w:rsid w:val="00251794"/>
    <w:rsid w:val="00251A49"/>
    <w:rsid w:val="00252114"/>
    <w:rsid w:val="00253AF0"/>
    <w:rsid w:val="0025460A"/>
    <w:rsid w:val="0025545D"/>
    <w:rsid w:val="00255966"/>
    <w:rsid w:val="00255D0D"/>
    <w:rsid w:val="00256615"/>
    <w:rsid w:val="00260B7B"/>
    <w:rsid w:val="00260C77"/>
    <w:rsid w:val="00261352"/>
    <w:rsid w:val="00261EC6"/>
    <w:rsid w:val="00263F0B"/>
    <w:rsid w:val="00264CEC"/>
    <w:rsid w:val="00264EB1"/>
    <w:rsid w:val="002718DC"/>
    <w:rsid w:val="00273BE9"/>
    <w:rsid w:val="00276C71"/>
    <w:rsid w:val="00276DB3"/>
    <w:rsid w:val="002804C1"/>
    <w:rsid w:val="00280832"/>
    <w:rsid w:val="00281526"/>
    <w:rsid w:val="00281603"/>
    <w:rsid w:val="00282407"/>
    <w:rsid w:val="00282FB1"/>
    <w:rsid w:val="00285406"/>
    <w:rsid w:val="00286C1A"/>
    <w:rsid w:val="0029388C"/>
    <w:rsid w:val="00297F1F"/>
    <w:rsid w:val="002A552C"/>
    <w:rsid w:val="002A60BD"/>
    <w:rsid w:val="002A65ED"/>
    <w:rsid w:val="002A73CE"/>
    <w:rsid w:val="002B06C5"/>
    <w:rsid w:val="002B15ED"/>
    <w:rsid w:val="002B1738"/>
    <w:rsid w:val="002B2607"/>
    <w:rsid w:val="002B29CA"/>
    <w:rsid w:val="002B2A2A"/>
    <w:rsid w:val="002B3742"/>
    <w:rsid w:val="002B3C2B"/>
    <w:rsid w:val="002B4838"/>
    <w:rsid w:val="002B630E"/>
    <w:rsid w:val="002B6781"/>
    <w:rsid w:val="002B6927"/>
    <w:rsid w:val="002C0397"/>
    <w:rsid w:val="002C04E9"/>
    <w:rsid w:val="002C0C29"/>
    <w:rsid w:val="002C0D25"/>
    <w:rsid w:val="002C1430"/>
    <w:rsid w:val="002C346C"/>
    <w:rsid w:val="002C5A99"/>
    <w:rsid w:val="002C5C06"/>
    <w:rsid w:val="002C615F"/>
    <w:rsid w:val="002C7385"/>
    <w:rsid w:val="002C7A57"/>
    <w:rsid w:val="002C7B9B"/>
    <w:rsid w:val="002D1D0C"/>
    <w:rsid w:val="002D2598"/>
    <w:rsid w:val="002D2B90"/>
    <w:rsid w:val="002D2C38"/>
    <w:rsid w:val="002D6F32"/>
    <w:rsid w:val="002E07CD"/>
    <w:rsid w:val="002E15DE"/>
    <w:rsid w:val="002E1DAC"/>
    <w:rsid w:val="002E2871"/>
    <w:rsid w:val="002E2EAF"/>
    <w:rsid w:val="002E33A5"/>
    <w:rsid w:val="002E494C"/>
    <w:rsid w:val="002E4E67"/>
    <w:rsid w:val="002E682C"/>
    <w:rsid w:val="002E6D05"/>
    <w:rsid w:val="002E7720"/>
    <w:rsid w:val="002F0F4F"/>
    <w:rsid w:val="002F239F"/>
    <w:rsid w:val="002F4201"/>
    <w:rsid w:val="002F4E05"/>
    <w:rsid w:val="002F5557"/>
    <w:rsid w:val="002F5897"/>
    <w:rsid w:val="002F61D4"/>
    <w:rsid w:val="002F71A3"/>
    <w:rsid w:val="002F72A0"/>
    <w:rsid w:val="0030293F"/>
    <w:rsid w:val="00303961"/>
    <w:rsid w:val="00303A8B"/>
    <w:rsid w:val="00304736"/>
    <w:rsid w:val="00307512"/>
    <w:rsid w:val="003076A0"/>
    <w:rsid w:val="00310D19"/>
    <w:rsid w:val="00310F11"/>
    <w:rsid w:val="00311324"/>
    <w:rsid w:val="00311BDD"/>
    <w:rsid w:val="003122C4"/>
    <w:rsid w:val="003131DB"/>
    <w:rsid w:val="0031334F"/>
    <w:rsid w:val="00313BFF"/>
    <w:rsid w:val="00314103"/>
    <w:rsid w:val="00314368"/>
    <w:rsid w:val="00314C76"/>
    <w:rsid w:val="00315DD6"/>
    <w:rsid w:val="00317712"/>
    <w:rsid w:val="0032031D"/>
    <w:rsid w:val="00320881"/>
    <w:rsid w:val="00321345"/>
    <w:rsid w:val="00321647"/>
    <w:rsid w:val="00321989"/>
    <w:rsid w:val="003226D7"/>
    <w:rsid w:val="003243EC"/>
    <w:rsid w:val="003247CD"/>
    <w:rsid w:val="00324EEB"/>
    <w:rsid w:val="00324F7C"/>
    <w:rsid w:val="0032635B"/>
    <w:rsid w:val="00326585"/>
    <w:rsid w:val="00330780"/>
    <w:rsid w:val="00330C25"/>
    <w:rsid w:val="00332EA3"/>
    <w:rsid w:val="00334E29"/>
    <w:rsid w:val="003362AD"/>
    <w:rsid w:val="00337CAE"/>
    <w:rsid w:val="003407AA"/>
    <w:rsid w:val="00342688"/>
    <w:rsid w:val="0034440E"/>
    <w:rsid w:val="0034635B"/>
    <w:rsid w:val="00347899"/>
    <w:rsid w:val="00347A94"/>
    <w:rsid w:val="003518D6"/>
    <w:rsid w:val="0035207D"/>
    <w:rsid w:val="00354958"/>
    <w:rsid w:val="00354B7A"/>
    <w:rsid w:val="00363275"/>
    <w:rsid w:val="00363966"/>
    <w:rsid w:val="00366062"/>
    <w:rsid w:val="0036795B"/>
    <w:rsid w:val="00372EB5"/>
    <w:rsid w:val="00373224"/>
    <w:rsid w:val="003741B0"/>
    <w:rsid w:val="0037467F"/>
    <w:rsid w:val="00375E58"/>
    <w:rsid w:val="00380545"/>
    <w:rsid w:val="00380B54"/>
    <w:rsid w:val="00382180"/>
    <w:rsid w:val="0038240C"/>
    <w:rsid w:val="0038359A"/>
    <w:rsid w:val="00385359"/>
    <w:rsid w:val="00386F22"/>
    <w:rsid w:val="00387996"/>
    <w:rsid w:val="0039000E"/>
    <w:rsid w:val="003905A7"/>
    <w:rsid w:val="0039165A"/>
    <w:rsid w:val="00391F03"/>
    <w:rsid w:val="00394CAD"/>
    <w:rsid w:val="00395614"/>
    <w:rsid w:val="0039562F"/>
    <w:rsid w:val="003A06D1"/>
    <w:rsid w:val="003A2368"/>
    <w:rsid w:val="003A4F5A"/>
    <w:rsid w:val="003A5B10"/>
    <w:rsid w:val="003A6775"/>
    <w:rsid w:val="003B1A04"/>
    <w:rsid w:val="003B2A15"/>
    <w:rsid w:val="003B31ED"/>
    <w:rsid w:val="003B3719"/>
    <w:rsid w:val="003B3B3B"/>
    <w:rsid w:val="003B41C4"/>
    <w:rsid w:val="003B7048"/>
    <w:rsid w:val="003C0D7D"/>
    <w:rsid w:val="003C1D76"/>
    <w:rsid w:val="003C2720"/>
    <w:rsid w:val="003C2A9C"/>
    <w:rsid w:val="003C3469"/>
    <w:rsid w:val="003C45A3"/>
    <w:rsid w:val="003C4858"/>
    <w:rsid w:val="003C4A19"/>
    <w:rsid w:val="003C4DE7"/>
    <w:rsid w:val="003C5BB3"/>
    <w:rsid w:val="003C663D"/>
    <w:rsid w:val="003D1170"/>
    <w:rsid w:val="003D1B8E"/>
    <w:rsid w:val="003D2792"/>
    <w:rsid w:val="003D2D72"/>
    <w:rsid w:val="003D36EE"/>
    <w:rsid w:val="003D515C"/>
    <w:rsid w:val="003D60E1"/>
    <w:rsid w:val="003D6E0A"/>
    <w:rsid w:val="003E08AE"/>
    <w:rsid w:val="003E10AC"/>
    <w:rsid w:val="003E45F5"/>
    <w:rsid w:val="003F0A88"/>
    <w:rsid w:val="003F1CDB"/>
    <w:rsid w:val="003F3518"/>
    <w:rsid w:val="003F49A8"/>
    <w:rsid w:val="003F504F"/>
    <w:rsid w:val="003F5B69"/>
    <w:rsid w:val="003F6039"/>
    <w:rsid w:val="003F641B"/>
    <w:rsid w:val="003F7A05"/>
    <w:rsid w:val="004027BF"/>
    <w:rsid w:val="00402EC0"/>
    <w:rsid w:val="00403934"/>
    <w:rsid w:val="00403D08"/>
    <w:rsid w:val="00405E60"/>
    <w:rsid w:val="0040736B"/>
    <w:rsid w:val="00407975"/>
    <w:rsid w:val="004105EF"/>
    <w:rsid w:val="004125A8"/>
    <w:rsid w:val="0041281D"/>
    <w:rsid w:val="00413A55"/>
    <w:rsid w:val="004145D9"/>
    <w:rsid w:val="004146FF"/>
    <w:rsid w:val="00414A9C"/>
    <w:rsid w:val="00415A1A"/>
    <w:rsid w:val="00416056"/>
    <w:rsid w:val="004178C9"/>
    <w:rsid w:val="004217B6"/>
    <w:rsid w:val="0042326A"/>
    <w:rsid w:val="00423F96"/>
    <w:rsid w:val="004245D7"/>
    <w:rsid w:val="0042619D"/>
    <w:rsid w:val="004261A1"/>
    <w:rsid w:val="00427E6D"/>
    <w:rsid w:val="00431F4F"/>
    <w:rsid w:val="00432EC9"/>
    <w:rsid w:val="0043351E"/>
    <w:rsid w:val="00433676"/>
    <w:rsid w:val="00433D81"/>
    <w:rsid w:val="00433EF8"/>
    <w:rsid w:val="004350F5"/>
    <w:rsid w:val="00436504"/>
    <w:rsid w:val="00436634"/>
    <w:rsid w:val="004369A4"/>
    <w:rsid w:val="00437289"/>
    <w:rsid w:val="00437D15"/>
    <w:rsid w:val="004405C7"/>
    <w:rsid w:val="00441689"/>
    <w:rsid w:val="00441737"/>
    <w:rsid w:val="00441D39"/>
    <w:rsid w:val="0044250A"/>
    <w:rsid w:val="00442AF8"/>
    <w:rsid w:val="00443500"/>
    <w:rsid w:val="00443777"/>
    <w:rsid w:val="00445048"/>
    <w:rsid w:val="0044514A"/>
    <w:rsid w:val="00447E59"/>
    <w:rsid w:val="004528E4"/>
    <w:rsid w:val="00452A19"/>
    <w:rsid w:val="004579D9"/>
    <w:rsid w:val="00457DC2"/>
    <w:rsid w:val="00462048"/>
    <w:rsid w:val="00465659"/>
    <w:rsid w:val="00466590"/>
    <w:rsid w:val="00466B82"/>
    <w:rsid w:val="004713A3"/>
    <w:rsid w:val="004717E1"/>
    <w:rsid w:val="00473208"/>
    <w:rsid w:val="004733D3"/>
    <w:rsid w:val="00474B23"/>
    <w:rsid w:val="004776F7"/>
    <w:rsid w:val="0048051B"/>
    <w:rsid w:val="00480E00"/>
    <w:rsid w:val="0048101F"/>
    <w:rsid w:val="00481D09"/>
    <w:rsid w:val="00482C75"/>
    <w:rsid w:val="00483111"/>
    <w:rsid w:val="0048474A"/>
    <w:rsid w:val="00484CD7"/>
    <w:rsid w:val="00484F08"/>
    <w:rsid w:val="00485BCA"/>
    <w:rsid w:val="004868C9"/>
    <w:rsid w:val="00487315"/>
    <w:rsid w:val="0048796F"/>
    <w:rsid w:val="00490451"/>
    <w:rsid w:val="00490A8A"/>
    <w:rsid w:val="00491C76"/>
    <w:rsid w:val="00494624"/>
    <w:rsid w:val="00495001"/>
    <w:rsid w:val="0049557B"/>
    <w:rsid w:val="0049690E"/>
    <w:rsid w:val="004A112E"/>
    <w:rsid w:val="004A36EC"/>
    <w:rsid w:val="004A4DFA"/>
    <w:rsid w:val="004A58A7"/>
    <w:rsid w:val="004A5FF2"/>
    <w:rsid w:val="004A64FB"/>
    <w:rsid w:val="004A6A07"/>
    <w:rsid w:val="004A6D1E"/>
    <w:rsid w:val="004A76F2"/>
    <w:rsid w:val="004B0411"/>
    <w:rsid w:val="004B08A1"/>
    <w:rsid w:val="004B1463"/>
    <w:rsid w:val="004B14E4"/>
    <w:rsid w:val="004B2A25"/>
    <w:rsid w:val="004B2AC5"/>
    <w:rsid w:val="004B2CB5"/>
    <w:rsid w:val="004B51E3"/>
    <w:rsid w:val="004B66E5"/>
    <w:rsid w:val="004B6ED7"/>
    <w:rsid w:val="004C0C2B"/>
    <w:rsid w:val="004C1248"/>
    <w:rsid w:val="004C16FA"/>
    <w:rsid w:val="004C3146"/>
    <w:rsid w:val="004C3A99"/>
    <w:rsid w:val="004C4DEE"/>
    <w:rsid w:val="004C76EA"/>
    <w:rsid w:val="004D1209"/>
    <w:rsid w:val="004D1B64"/>
    <w:rsid w:val="004D1D4F"/>
    <w:rsid w:val="004D3EC4"/>
    <w:rsid w:val="004D4247"/>
    <w:rsid w:val="004D5CB0"/>
    <w:rsid w:val="004D7002"/>
    <w:rsid w:val="004D7237"/>
    <w:rsid w:val="004D794D"/>
    <w:rsid w:val="004D7FCB"/>
    <w:rsid w:val="004E0C05"/>
    <w:rsid w:val="004E0EC6"/>
    <w:rsid w:val="004E12B1"/>
    <w:rsid w:val="004E1D33"/>
    <w:rsid w:val="004E2822"/>
    <w:rsid w:val="004E3473"/>
    <w:rsid w:val="004E5965"/>
    <w:rsid w:val="004E6615"/>
    <w:rsid w:val="004F1425"/>
    <w:rsid w:val="004F16CC"/>
    <w:rsid w:val="004F3309"/>
    <w:rsid w:val="004F3FCD"/>
    <w:rsid w:val="004F58B1"/>
    <w:rsid w:val="004F666A"/>
    <w:rsid w:val="004F73F8"/>
    <w:rsid w:val="005013F7"/>
    <w:rsid w:val="005015F5"/>
    <w:rsid w:val="005034E3"/>
    <w:rsid w:val="005047C5"/>
    <w:rsid w:val="0050739A"/>
    <w:rsid w:val="00507FA6"/>
    <w:rsid w:val="005100DC"/>
    <w:rsid w:val="00511660"/>
    <w:rsid w:val="0051175E"/>
    <w:rsid w:val="005128C7"/>
    <w:rsid w:val="00512A0D"/>
    <w:rsid w:val="00513C7E"/>
    <w:rsid w:val="00514808"/>
    <w:rsid w:val="005160FD"/>
    <w:rsid w:val="005163DB"/>
    <w:rsid w:val="00517C5D"/>
    <w:rsid w:val="00517CCE"/>
    <w:rsid w:val="00517F00"/>
    <w:rsid w:val="00520257"/>
    <w:rsid w:val="005209FC"/>
    <w:rsid w:val="0052132D"/>
    <w:rsid w:val="0052194C"/>
    <w:rsid w:val="005219A0"/>
    <w:rsid w:val="005220FA"/>
    <w:rsid w:val="005229A0"/>
    <w:rsid w:val="00522D50"/>
    <w:rsid w:val="00525225"/>
    <w:rsid w:val="005275D1"/>
    <w:rsid w:val="00527D92"/>
    <w:rsid w:val="00531163"/>
    <w:rsid w:val="00531BAF"/>
    <w:rsid w:val="00533000"/>
    <w:rsid w:val="00534CE1"/>
    <w:rsid w:val="0053521F"/>
    <w:rsid w:val="00535B6E"/>
    <w:rsid w:val="00536249"/>
    <w:rsid w:val="00537409"/>
    <w:rsid w:val="00537781"/>
    <w:rsid w:val="00540882"/>
    <w:rsid w:val="005409DB"/>
    <w:rsid w:val="00541CB1"/>
    <w:rsid w:val="00541DBF"/>
    <w:rsid w:val="00542174"/>
    <w:rsid w:val="0054243B"/>
    <w:rsid w:val="00542C62"/>
    <w:rsid w:val="0054318C"/>
    <w:rsid w:val="00543F5F"/>
    <w:rsid w:val="00544CC8"/>
    <w:rsid w:val="00545698"/>
    <w:rsid w:val="00546149"/>
    <w:rsid w:val="00546E28"/>
    <w:rsid w:val="00546EE7"/>
    <w:rsid w:val="0054730C"/>
    <w:rsid w:val="00550E93"/>
    <w:rsid w:val="00553F90"/>
    <w:rsid w:val="00555089"/>
    <w:rsid w:val="005565F1"/>
    <w:rsid w:val="00556931"/>
    <w:rsid w:val="00562259"/>
    <w:rsid w:val="005655BD"/>
    <w:rsid w:val="00565A5B"/>
    <w:rsid w:val="005661E1"/>
    <w:rsid w:val="00571501"/>
    <w:rsid w:val="00573B46"/>
    <w:rsid w:val="00573C8F"/>
    <w:rsid w:val="00574712"/>
    <w:rsid w:val="00575C0E"/>
    <w:rsid w:val="00575DC5"/>
    <w:rsid w:val="00576C5E"/>
    <w:rsid w:val="00577C17"/>
    <w:rsid w:val="005804CC"/>
    <w:rsid w:val="00580957"/>
    <w:rsid w:val="005818B8"/>
    <w:rsid w:val="005824FB"/>
    <w:rsid w:val="00583B2B"/>
    <w:rsid w:val="005841B9"/>
    <w:rsid w:val="00586955"/>
    <w:rsid w:val="005870EB"/>
    <w:rsid w:val="00587709"/>
    <w:rsid w:val="00587806"/>
    <w:rsid w:val="005901A1"/>
    <w:rsid w:val="00590E8A"/>
    <w:rsid w:val="005925ED"/>
    <w:rsid w:val="00592DCF"/>
    <w:rsid w:val="00593EB5"/>
    <w:rsid w:val="005955BA"/>
    <w:rsid w:val="005A0385"/>
    <w:rsid w:val="005A0B59"/>
    <w:rsid w:val="005A1A5E"/>
    <w:rsid w:val="005A2359"/>
    <w:rsid w:val="005A245A"/>
    <w:rsid w:val="005A29F3"/>
    <w:rsid w:val="005A2C7B"/>
    <w:rsid w:val="005A375E"/>
    <w:rsid w:val="005A3C2A"/>
    <w:rsid w:val="005A51FB"/>
    <w:rsid w:val="005A6201"/>
    <w:rsid w:val="005B0CD9"/>
    <w:rsid w:val="005B0F9A"/>
    <w:rsid w:val="005B1556"/>
    <w:rsid w:val="005B1A42"/>
    <w:rsid w:val="005B1BE8"/>
    <w:rsid w:val="005B26EF"/>
    <w:rsid w:val="005B3BDC"/>
    <w:rsid w:val="005B421B"/>
    <w:rsid w:val="005B4CD9"/>
    <w:rsid w:val="005B4DB1"/>
    <w:rsid w:val="005B6EBD"/>
    <w:rsid w:val="005C01C8"/>
    <w:rsid w:val="005C0690"/>
    <w:rsid w:val="005C0788"/>
    <w:rsid w:val="005C162E"/>
    <w:rsid w:val="005C27A5"/>
    <w:rsid w:val="005C31F3"/>
    <w:rsid w:val="005C417A"/>
    <w:rsid w:val="005C4CDB"/>
    <w:rsid w:val="005C4E07"/>
    <w:rsid w:val="005C54A0"/>
    <w:rsid w:val="005C5C83"/>
    <w:rsid w:val="005C60E0"/>
    <w:rsid w:val="005C6CDA"/>
    <w:rsid w:val="005D0123"/>
    <w:rsid w:val="005D22FC"/>
    <w:rsid w:val="005D28A1"/>
    <w:rsid w:val="005D3D41"/>
    <w:rsid w:val="005D736F"/>
    <w:rsid w:val="005E0232"/>
    <w:rsid w:val="005E1744"/>
    <w:rsid w:val="005E3421"/>
    <w:rsid w:val="005E3B04"/>
    <w:rsid w:val="005E3F3B"/>
    <w:rsid w:val="005E4A26"/>
    <w:rsid w:val="005E4F70"/>
    <w:rsid w:val="005E509D"/>
    <w:rsid w:val="005E5813"/>
    <w:rsid w:val="005E5A1C"/>
    <w:rsid w:val="005E5A21"/>
    <w:rsid w:val="005E7CE8"/>
    <w:rsid w:val="005E7F51"/>
    <w:rsid w:val="005F0896"/>
    <w:rsid w:val="005F162E"/>
    <w:rsid w:val="005F16C3"/>
    <w:rsid w:val="005F26CB"/>
    <w:rsid w:val="005F328B"/>
    <w:rsid w:val="005F35C2"/>
    <w:rsid w:val="005F3F96"/>
    <w:rsid w:val="005F74F3"/>
    <w:rsid w:val="005F787B"/>
    <w:rsid w:val="0060103C"/>
    <w:rsid w:val="00601F45"/>
    <w:rsid w:val="00602C85"/>
    <w:rsid w:val="006041C3"/>
    <w:rsid w:val="00604B92"/>
    <w:rsid w:val="006052FC"/>
    <w:rsid w:val="00605456"/>
    <w:rsid w:val="00605A28"/>
    <w:rsid w:val="00606374"/>
    <w:rsid w:val="00606914"/>
    <w:rsid w:val="006074A8"/>
    <w:rsid w:val="00607CF5"/>
    <w:rsid w:val="00607E18"/>
    <w:rsid w:val="00610313"/>
    <w:rsid w:val="006104D8"/>
    <w:rsid w:val="00610BBF"/>
    <w:rsid w:val="00611382"/>
    <w:rsid w:val="00611412"/>
    <w:rsid w:val="006116F1"/>
    <w:rsid w:val="0061224D"/>
    <w:rsid w:val="00612E82"/>
    <w:rsid w:val="00613FB5"/>
    <w:rsid w:val="00614E98"/>
    <w:rsid w:val="00615FD7"/>
    <w:rsid w:val="006171E8"/>
    <w:rsid w:val="00617E33"/>
    <w:rsid w:val="006205EF"/>
    <w:rsid w:val="0062295C"/>
    <w:rsid w:val="00623AD2"/>
    <w:rsid w:val="00623ED3"/>
    <w:rsid w:val="00624B6C"/>
    <w:rsid w:val="00625D8D"/>
    <w:rsid w:val="00626386"/>
    <w:rsid w:val="00626DA5"/>
    <w:rsid w:val="00627A6C"/>
    <w:rsid w:val="00630F45"/>
    <w:rsid w:val="00632B51"/>
    <w:rsid w:val="00632FF7"/>
    <w:rsid w:val="00633021"/>
    <w:rsid w:val="00633695"/>
    <w:rsid w:val="00635E32"/>
    <w:rsid w:val="00636962"/>
    <w:rsid w:val="00637781"/>
    <w:rsid w:val="00641283"/>
    <w:rsid w:val="00641BE0"/>
    <w:rsid w:val="00642DB4"/>
    <w:rsid w:val="006443B0"/>
    <w:rsid w:val="00644C71"/>
    <w:rsid w:val="006462FA"/>
    <w:rsid w:val="0064682D"/>
    <w:rsid w:val="0064707F"/>
    <w:rsid w:val="00650929"/>
    <w:rsid w:val="00651FFB"/>
    <w:rsid w:val="00652A88"/>
    <w:rsid w:val="00652DDD"/>
    <w:rsid w:val="00654922"/>
    <w:rsid w:val="006551AC"/>
    <w:rsid w:val="006551B6"/>
    <w:rsid w:val="00656E7D"/>
    <w:rsid w:val="00657054"/>
    <w:rsid w:val="0066086F"/>
    <w:rsid w:val="00660EBB"/>
    <w:rsid w:val="006611E2"/>
    <w:rsid w:val="00662C50"/>
    <w:rsid w:val="00662DEB"/>
    <w:rsid w:val="00663CC5"/>
    <w:rsid w:val="00664ADE"/>
    <w:rsid w:val="00664D1A"/>
    <w:rsid w:val="00665B09"/>
    <w:rsid w:val="00666788"/>
    <w:rsid w:val="00670660"/>
    <w:rsid w:val="00673DC7"/>
    <w:rsid w:val="00675562"/>
    <w:rsid w:val="00675E84"/>
    <w:rsid w:val="00676B8B"/>
    <w:rsid w:val="006775C2"/>
    <w:rsid w:val="00680E69"/>
    <w:rsid w:val="00682444"/>
    <w:rsid w:val="00684194"/>
    <w:rsid w:val="00684D69"/>
    <w:rsid w:val="006857FE"/>
    <w:rsid w:val="00685911"/>
    <w:rsid w:val="00686315"/>
    <w:rsid w:val="00686AF3"/>
    <w:rsid w:val="00687B50"/>
    <w:rsid w:val="0069040D"/>
    <w:rsid w:val="006904B5"/>
    <w:rsid w:val="00690667"/>
    <w:rsid w:val="0069115C"/>
    <w:rsid w:val="006917D8"/>
    <w:rsid w:val="006928F3"/>
    <w:rsid w:val="00692CFB"/>
    <w:rsid w:val="006952F5"/>
    <w:rsid w:val="00695500"/>
    <w:rsid w:val="00697775"/>
    <w:rsid w:val="006A1458"/>
    <w:rsid w:val="006A2E04"/>
    <w:rsid w:val="006A2F51"/>
    <w:rsid w:val="006A350C"/>
    <w:rsid w:val="006A41E6"/>
    <w:rsid w:val="006A48B4"/>
    <w:rsid w:val="006A5596"/>
    <w:rsid w:val="006A5974"/>
    <w:rsid w:val="006A6291"/>
    <w:rsid w:val="006A6A97"/>
    <w:rsid w:val="006B268E"/>
    <w:rsid w:val="006B317B"/>
    <w:rsid w:val="006B32E7"/>
    <w:rsid w:val="006B4620"/>
    <w:rsid w:val="006B58FD"/>
    <w:rsid w:val="006C1B42"/>
    <w:rsid w:val="006C56C9"/>
    <w:rsid w:val="006C5D1F"/>
    <w:rsid w:val="006D04E5"/>
    <w:rsid w:val="006D05E4"/>
    <w:rsid w:val="006D144F"/>
    <w:rsid w:val="006D33FD"/>
    <w:rsid w:val="006D4157"/>
    <w:rsid w:val="006D567B"/>
    <w:rsid w:val="006D636D"/>
    <w:rsid w:val="006D6F72"/>
    <w:rsid w:val="006E0B76"/>
    <w:rsid w:val="006E1C3C"/>
    <w:rsid w:val="006E1CF0"/>
    <w:rsid w:val="006E1EE7"/>
    <w:rsid w:val="006E2EB3"/>
    <w:rsid w:val="006E3EAB"/>
    <w:rsid w:val="006E521B"/>
    <w:rsid w:val="006E5AC6"/>
    <w:rsid w:val="006E62FB"/>
    <w:rsid w:val="006F1024"/>
    <w:rsid w:val="006F2D33"/>
    <w:rsid w:val="006F30B4"/>
    <w:rsid w:val="006F3124"/>
    <w:rsid w:val="006F3939"/>
    <w:rsid w:val="006F3C3C"/>
    <w:rsid w:val="006F46C3"/>
    <w:rsid w:val="006F6C08"/>
    <w:rsid w:val="006F6E12"/>
    <w:rsid w:val="00700165"/>
    <w:rsid w:val="00701A84"/>
    <w:rsid w:val="0070238F"/>
    <w:rsid w:val="00703C2F"/>
    <w:rsid w:val="00705859"/>
    <w:rsid w:val="007058F5"/>
    <w:rsid w:val="00706041"/>
    <w:rsid w:val="00711B37"/>
    <w:rsid w:val="007123AF"/>
    <w:rsid w:val="00712A96"/>
    <w:rsid w:val="0071426A"/>
    <w:rsid w:val="0072025B"/>
    <w:rsid w:val="00721056"/>
    <w:rsid w:val="00721422"/>
    <w:rsid w:val="00721ED5"/>
    <w:rsid w:val="00722799"/>
    <w:rsid w:val="00723AEF"/>
    <w:rsid w:val="00724F99"/>
    <w:rsid w:val="00725156"/>
    <w:rsid w:val="007253BB"/>
    <w:rsid w:val="0072572C"/>
    <w:rsid w:val="00725C94"/>
    <w:rsid w:val="00726A6C"/>
    <w:rsid w:val="00726B23"/>
    <w:rsid w:val="00726DB7"/>
    <w:rsid w:val="00727E29"/>
    <w:rsid w:val="00730124"/>
    <w:rsid w:val="00731162"/>
    <w:rsid w:val="00731605"/>
    <w:rsid w:val="0073265E"/>
    <w:rsid w:val="00733083"/>
    <w:rsid w:val="007333D1"/>
    <w:rsid w:val="00735916"/>
    <w:rsid w:val="007369A1"/>
    <w:rsid w:val="00737CEF"/>
    <w:rsid w:val="00740409"/>
    <w:rsid w:val="00740D43"/>
    <w:rsid w:val="00740DF2"/>
    <w:rsid w:val="0074116C"/>
    <w:rsid w:val="00742B21"/>
    <w:rsid w:val="0074428E"/>
    <w:rsid w:val="00744517"/>
    <w:rsid w:val="00745600"/>
    <w:rsid w:val="0074763A"/>
    <w:rsid w:val="00750137"/>
    <w:rsid w:val="0075115C"/>
    <w:rsid w:val="007512E8"/>
    <w:rsid w:val="00752F54"/>
    <w:rsid w:val="00754E47"/>
    <w:rsid w:val="00755157"/>
    <w:rsid w:val="00756440"/>
    <w:rsid w:val="00757223"/>
    <w:rsid w:val="00757BAC"/>
    <w:rsid w:val="00761816"/>
    <w:rsid w:val="00762B94"/>
    <w:rsid w:val="00762C99"/>
    <w:rsid w:val="007635FF"/>
    <w:rsid w:val="0076561B"/>
    <w:rsid w:val="00766147"/>
    <w:rsid w:val="00766DD4"/>
    <w:rsid w:val="00770518"/>
    <w:rsid w:val="00770555"/>
    <w:rsid w:val="00770C01"/>
    <w:rsid w:val="00771A4F"/>
    <w:rsid w:val="00771C1C"/>
    <w:rsid w:val="00772178"/>
    <w:rsid w:val="007724D2"/>
    <w:rsid w:val="00772E30"/>
    <w:rsid w:val="007769FC"/>
    <w:rsid w:val="0077707C"/>
    <w:rsid w:val="00777557"/>
    <w:rsid w:val="00780470"/>
    <w:rsid w:val="00780D12"/>
    <w:rsid w:val="007826E9"/>
    <w:rsid w:val="00782981"/>
    <w:rsid w:val="007842C6"/>
    <w:rsid w:val="00784B4B"/>
    <w:rsid w:val="00787273"/>
    <w:rsid w:val="00787508"/>
    <w:rsid w:val="00787E85"/>
    <w:rsid w:val="00790A94"/>
    <w:rsid w:val="00790D34"/>
    <w:rsid w:val="007911B2"/>
    <w:rsid w:val="00791D27"/>
    <w:rsid w:val="00791D3F"/>
    <w:rsid w:val="0079334E"/>
    <w:rsid w:val="00793F1E"/>
    <w:rsid w:val="0079636D"/>
    <w:rsid w:val="00796BAD"/>
    <w:rsid w:val="00797704"/>
    <w:rsid w:val="00797ACE"/>
    <w:rsid w:val="007A08F7"/>
    <w:rsid w:val="007A1489"/>
    <w:rsid w:val="007A1E5B"/>
    <w:rsid w:val="007A36C9"/>
    <w:rsid w:val="007A41E6"/>
    <w:rsid w:val="007A5188"/>
    <w:rsid w:val="007A5897"/>
    <w:rsid w:val="007A6512"/>
    <w:rsid w:val="007A67FD"/>
    <w:rsid w:val="007B00EB"/>
    <w:rsid w:val="007B0735"/>
    <w:rsid w:val="007B0743"/>
    <w:rsid w:val="007B300E"/>
    <w:rsid w:val="007B3D71"/>
    <w:rsid w:val="007B419E"/>
    <w:rsid w:val="007B5213"/>
    <w:rsid w:val="007B56F1"/>
    <w:rsid w:val="007B6A68"/>
    <w:rsid w:val="007B7DDF"/>
    <w:rsid w:val="007C08D6"/>
    <w:rsid w:val="007C0941"/>
    <w:rsid w:val="007C0BD8"/>
    <w:rsid w:val="007C292F"/>
    <w:rsid w:val="007C4457"/>
    <w:rsid w:val="007C45F4"/>
    <w:rsid w:val="007C4FC1"/>
    <w:rsid w:val="007C559E"/>
    <w:rsid w:val="007C5665"/>
    <w:rsid w:val="007C5674"/>
    <w:rsid w:val="007C5AAC"/>
    <w:rsid w:val="007C5C80"/>
    <w:rsid w:val="007D07A2"/>
    <w:rsid w:val="007D16DC"/>
    <w:rsid w:val="007D29C2"/>
    <w:rsid w:val="007D44BD"/>
    <w:rsid w:val="007D4C26"/>
    <w:rsid w:val="007D507A"/>
    <w:rsid w:val="007D59B4"/>
    <w:rsid w:val="007D5CBB"/>
    <w:rsid w:val="007D6572"/>
    <w:rsid w:val="007D713E"/>
    <w:rsid w:val="007E0563"/>
    <w:rsid w:val="007E0AFC"/>
    <w:rsid w:val="007E1A44"/>
    <w:rsid w:val="007E3207"/>
    <w:rsid w:val="007E3C6F"/>
    <w:rsid w:val="007E4515"/>
    <w:rsid w:val="007E46F2"/>
    <w:rsid w:val="007E58A7"/>
    <w:rsid w:val="007E5B92"/>
    <w:rsid w:val="007E6590"/>
    <w:rsid w:val="007E78FD"/>
    <w:rsid w:val="007F15D7"/>
    <w:rsid w:val="007F33A5"/>
    <w:rsid w:val="007F3EE3"/>
    <w:rsid w:val="007F639A"/>
    <w:rsid w:val="007F6A96"/>
    <w:rsid w:val="008002A1"/>
    <w:rsid w:val="008016DA"/>
    <w:rsid w:val="0080231C"/>
    <w:rsid w:val="00802B3E"/>
    <w:rsid w:val="00803743"/>
    <w:rsid w:val="008038E1"/>
    <w:rsid w:val="0080391A"/>
    <w:rsid w:val="00803D1B"/>
    <w:rsid w:val="00804854"/>
    <w:rsid w:val="00805D01"/>
    <w:rsid w:val="00806134"/>
    <w:rsid w:val="008066B9"/>
    <w:rsid w:val="00807D8B"/>
    <w:rsid w:val="00810F6F"/>
    <w:rsid w:val="008112DE"/>
    <w:rsid w:val="00811B19"/>
    <w:rsid w:val="00812E3F"/>
    <w:rsid w:val="00813000"/>
    <w:rsid w:val="00814ACE"/>
    <w:rsid w:val="00815435"/>
    <w:rsid w:val="00815D06"/>
    <w:rsid w:val="00821242"/>
    <w:rsid w:val="00822327"/>
    <w:rsid w:val="00822B05"/>
    <w:rsid w:val="00823971"/>
    <w:rsid w:val="00824B89"/>
    <w:rsid w:val="008261CA"/>
    <w:rsid w:val="00826534"/>
    <w:rsid w:val="008265DA"/>
    <w:rsid w:val="00826C28"/>
    <w:rsid w:val="00831777"/>
    <w:rsid w:val="00832B86"/>
    <w:rsid w:val="00833988"/>
    <w:rsid w:val="00833C99"/>
    <w:rsid w:val="00833E5B"/>
    <w:rsid w:val="008348C1"/>
    <w:rsid w:val="00836AF5"/>
    <w:rsid w:val="008375C5"/>
    <w:rsid w:val="008423DA"/>
    <w:rsid w:val="008429F0"/>
    <w:rsid w:val="00842D0A"/>
    <w:rsid w:val="00843F18"/>
    <w:rsid w:val="008440D0"/>
    <w:rsid w:val="008449E3"/>
    <w:rsid w:val="00845910"/>
    <w:rsid w:val="0084602F"/>
    <w:rsid w:val="0084761C"/>
    <w:rsid w:val="00847755"/>
    <w:rsid w:val="0085001E"/>
    <w:rsid w:val="0085111A"/>
    <w:rsid w:val="00851429"/>
    <w:rsid w:val="00851FB3"/>
    <w:rsid w:val="0085267C"/>
    <w:rsid w:val="0085273E"/>
    <w:rsid w:val="008543F3"/>
    <w:rsid w:val="00854650"/>
    <w:rsid w:val="008561E6"/>
    <w:rsid w:val="008567AE"/>
    <w:rsid w:val="00857047"/>
    <w:rsid w:val="008602E0"/>
    <w:rsid w:val="00860960"/>
    <w:rsid w:val="008625DD"/>
    <w:rsid w:val="00862801"/>
    <w:rsid w:val="008631FE"/>
    <w:rsid w:val="008634A5"/>
    <w:rsid w:val="00865A18"/>
    <w:rsid w:val="00865CCD"/>
    <w:rsid w:val="008661C3"/>
    <w:rsid w:val="00871068"/>
    <w:rsid w:val="00872ACE"/>
    <w:rsid w:val="00874D64"/>
    <w:rsid w:val="00875A26"/>
    <w:rsid w:val="00877B50"/>
    <w:rsid w:val="00877D85"/>
    <w:rsid w:val="00880C4E"/>
    <w:rsid w:val="00883403"/>
    <w:rsid w:val="00884003"/>
    <w:rsid w:val="00884568"/>
    <w:rsid w:val="008852FF"/>
    <w:rsid w:val="00885AFE"/>
    <w:rsid w:val="00885D7C"/>
    <w:rsid w:val="00886D39"/>
    <w:rsid w:val="0089381B"/>
    <w:rsid w:val="00894ECD"/>
    <w:rsid w:val="008A0C4A"/>
    <w:rsid w:val="008A148E"/>
    <w:rsid w:val="008A201C"/>
    <w:rsid w:val="008A3781"/>
    <w:rsid w:val="008A48C9"/>
    <w:rsid w:val="008A4C9A"/>
    <w:rsid w:val="008A4F8A"/>
    <w:rsid w:val="008A5F42"/>
    <w:rsid w:val="008A5F8F"/>
    <w:rsid w:val="008A6265"/>
    <w:rsid w:val="008B07C5"/>
    <w:rsid w:val="008B1A9F"/>
    <w:rsid w:val="008B2015"/>
    <w:rsid w:val="008B394B"/>
    <w:rsid w:val="008B4958"/>
    <w:rsid w:val="008B4B49"/>
    <w:rsid w:val="008B591F"/>
    <w:rsid w:val="008B5B12"/>
    <w:rsid w:val="008B7F43"/>
    <w:rsid w:val="008C10F7"/>
    <w:rsid w:val="008C1A6B"/>
    <w:rsid w:val="008C251D"/>
    <w:rsid w:val="008C265B"/>
    <w:rsid w:val="008C2C1C"/>
    <w:rsid w:val="008C3045"/>
    <w:rsid w:val="008C354F"/>
    <w:rsid w:val="008C4D93"/>
    <w:rsid w:val="008C4FE9"/>
    <w:rsid w:val="008C50C5"/>
    <w:rsid w:val="008C5769"/>
    <w:rsid w:val="008C692D"/>
    <w:rsid w:val="008C7E0E"/>
    <w:rsid w:val="008D0240"/>
    <w:rsid w:val="008D07ED"/>
    <w:rsid w:val="008D085E"/>
    <w:rsid w:val="008D0EA5"/>
    <w:rsid w:val="008D1879"/>
    <w:rsid w:val="008D2B4F"/>
    <w:rsid w:val="008D4716"/>
    <w:rsid w:val="008D5007"/>
    <w:rsid w:val="008D642E"/>
    <w:rsid w:val="008D6EE8"/>
    <w:rsid w:val="008E0895"/>
    <w:rsid w:val="008E2AC0"/>
    <w:rsid w:val="008E2F85"/>
    <w:rsid w:val="008E33CA"/>
    <w:rsid w:val="008E56F3"/>
    <w:rsid w:val="008E7C33"/>
    <w:rsid w:val="008F2DB6"/>
    <w:rsid w:val="008F78BF"/>
    <w:rsid w:val="008F7D0C"/>
    <w:rsid w:val="0090152F"/>
    <w:rsid w:val="00901724"/>
    <w:rsid w:val="00901E4C"/>
    <w:rsid w:val="00902162"/>
    <w:rsid w:val="00904905"/>
    <w:rsid w:val="00905A97"/>
    <w:rsid w:val="00905AE6"/>
    <w:rsid w:val="00906AC0"/>
    <w:rsid w:val="009102B1"/>
    <w:rsid w:val="0091110B"/>
    <w:rsid w:val="00912228"/>
    <w:rsid w:val="00913849"/>
    <w:rsid w:val="00913DA9"/>
    <w:rsid w:val="00914104"/>
    <w:rsid w:val="00914AA1"/>
    <w:rsid w:val="00915BD0"/>
    <w:rsid w:val="00915E84"/>
    <w:rsid w:val="009165B6"/>
    <w:rsid w:val="00916C4D"/>
    <w:rsid w:val="00917419"/>
    <w:rsid w:val="0091764F"/>
    <w:rsid w:val="00917C1C"/>
    <w:rsid w:val="009209DF"/>
    <w:rsid w:val="00921510"/>
    <w:rsid w:val="00922D1D"/>
    <w:rsid w:val="0092577B"/>
    <w:rsid w:val="009257AB"/>
    <w:rsid w:val="00926831"/>
    <w:rsid w:val="0092693A"/>
    <w:rsid w:val="00926A04"/>
    <w:rsid w:val="0093118A"/>
    <w:rsid w:val="009316C2"/>
    <w:rsid w:val="00931AC8"/>
    <w:rsid w:val="00934DFA"/>
    <w:rsid w:val="00937163"/>
    <w:rsid w:val="0093722E"/>
    <w:rsid w:val="0094074D"/>
    <w:rsid w:val="00942508"/>
    <w:rsid w:val="00942FF5"/>
    <w:rsid w:val="00943B39"/>
    <w:rsid w:val="00943CC2"/>
    <w:rsid w:val="00943F58"/>
    <w:rsid w:val="0094443B"/>
    <w:rsid w:val="009461B2"/>
    <w:rsid w:val="0094705E"/>
    <w:rsid w:val="00947774"/>
    <w:rsid w:val="0094784E"/>
    <w:rsid w:val="00947860"/>
    <w:rsid w:val="0094793B"/>
    <w:rsid w:val="00950AC8"/>
    <w:rsid w:val="009524DE"/>
    <w:rsid w:val="009527FF"/>
    <w:rsid w:val="00953BDB"/>
    <w:rsid w:val="00956336"/>
    <w:rsid w:val="00957F3F"/>
    <w:rsid w:val="009606E3"/>
    <w:rsid w:val="009607EB"/>
    <w:rsid w:val="009618BE"/>
    <w:rsid w:val="00961942"/>
    <w:rsid w:val="0096197F"/>
    <w:rsid w:val="0096341D"/>
    <w:rsid w:val="00964108"/>
    <w:rsid w:val="00964681"/>
    <w:rsid w:val="00964882"/>
    <w:rsid w:val="009649F2"/>
    <w:rsid w:val="00965C14"/>
    <w:rsid w:val="00966B35"/>
    <w:rsid w:val="009678EF"/>
    <w:rsid w:val="00967E9C"/>
    <w:rsid w:val="00970BC2"/>
    <w:rsid w:val="00971547"/>
    <w:rsid w:val="00972737"/>
    <w:rsid w:val="00972D10"/>
    <w:rsid w:val="00973FC7"/>
    <w:rsid w:val="0097425E"/>
    <w:rsid w:val="00974412"/>
    <w:rsid w:val="00975526"/>
    <w:rsid w:val="00976894"/>
    <w:rsid w:val="00976A71"/>
    <w:rsid w:val="0098081D"/>
    <w:rsid w:val="00980876"/>
    <w:rsid w:val="0098095B"/>
    <w:rsid w:val="00980CE5"/>
    <w:rsid w:val="00981293"/>
    <w:rsid w:val="009816BB"/>
    <w:rsid w:val="00981794"/>
    <w:rsid w:val="009836CD"/>
    <w:rsid w:val="00984168"/>
    <w:rsid w:val="0098473F"/>
    <w:rsid w:val="00986130"/>
    <w:rsid w:val="009875FE"/>
    <w:rsid w:val="00987946"/>
    <w:rsid w:val="00990251"/>
    <w:rsid w:val="00990C32"/>
    <w:rsid w:val="00990C3B"/>
    <w:rsid w:val="009914DB"/>
    <w:rsid w:val="009917E6"/>
    <w:rsid w:val="009936E7"/>
    <w:rsid w:val="00993DD3"/>
    <w:rsid w:val="009958EE"/>
    <w:rsid w:val="0099629E"/>
    <w:rsid w:val="00996A73"/>
    <w:rsid w:val="00996B2C"/>
    <w:rsid w:val="0099765D"/>
    <w:rsid w:val="009A0B48"/>
    <w:rsid w:val="009A17F3"/>
    <w:rsid w:val="009A21F7"/>
    <w:rsid w:val="009A2E76"/>
    <w:rsid w:val="009A2E92"/>
    <w:rsid w:val="009A47D2"/>
    <w:rsid w:val="009A56EC"/>
    <w:rsid w:val="009A6548"/>
    <w:rsid w:val="009A6828"/>
    <w:rsid w:val="009A6A0A"/>
    <w:rsid w:val="009A6D82"/>
    <w:rsid w:val="009A752D"/>
    <w:rsid w:val="009B0025"/>
    <w:rsid w:val="009B115E"/>
    <w:rsid w:val="009B2280"/>
    <w:rsid w:val="009B39BE"/>
    <w:rsid w:val="009B3CCE"/>
    <w:rsid w:val="009B499F"/>
    <w:rsid w:val="009B4B9E"/>
    <w:rsid w:val="009B54E6"/>
    <w:rsid w:val="009B69F5"/>
    <w:rsid w:val="009B6FF1"/>
    <w:rsid w:val="009B7E99"/>
    <w:rsid w:val="009C221B"/>
    <w:rsid w:val="009C3E75"/>
    <w:rsid w:val="009C42F0"/>
    <w:rsid w:val="009C4767"/>
    <w:rsid w:val="009C4FA7"/>
    <w:rsid w:val="009C5D2B"/>
    <w:rsid w:val="009C6550"/>
    <w:rsid w:val="009C6FB0"/>
    <w:rsid w:val="009C73EC"/>
    <w:rsid w:val="009D0780"/>
    <w:rsid w:val="009D0A6C"/>
    <w:rsid w:val="009D235B"/>
    <w:rsid w:val="009D2DB7"/>
    <w:rsid w:val="009D380F"/>
    <w:rsid w:val="009D3B56"/>
    <w:rsid w:val="009D4DF4"/>
    <w:rsid w:val="009D70C8"/>
    <w:rsid w:val="009E08FE"/>
    <w:rsid w:val="009E0980"/>
    <w:rsid w:val="009E2674"/>
    <w:rsid w:val="009E280D"/>
    <w:rsid w:val="009E3F33"/>
    <w:rsid w:val="009E77CE"/>
    <w:rsid w:val="009F155A"/>
    <w:rsid w:val="009F1AC6"/>
    <w:rsid w:val="009F3AA6"/>
    <w:rsid w:val="009F3D52"/>
    <w:rsid w:val="009F402F"/>
    <w:rsid w:val="009F46DE"/>
    <w:rsid w:val="009F7053"/>
    <w:rsid w:val="00A00218"/>
    <w:rsid w:val="00A00739"/>
    <w:rsid w:val="00A00B4F"/>
    <w:rsid w:val="00A00B74"/>
    <w:rsid w:val="00A01041"/>
    <w:rsid w:val="00A013E6"/>
    <w:rsid w:val="00A0155D"/>
    <w:rsid w:val="00A02955"/>
    <w:rsid w:val="00A02996"/>
    <w:rsid w:val="00A03725"/>
    <w:rsid w:val="00A04037"/>
    <w:rsid w:val="00A059CF"/>
    <w:rsid w:val="00A072E0"/>
    <w:rsid w:val="00A075BD"/>
    <w:rsid w:val="00A07753"/>
    <w:rsid w:val="00A10924"/>
    <w:rsid w:val="00A10E64"/>
    <w:rsid w:val="00A11B7E"/>
    <w:rsid w:val="00A14B3B"/>
    <w:rsid w:val="00A1600B"/>
    <w:rsid w:val="00A161A9"/>
    <w:rsid w:val="00A20C87"/>
    <w:rsid w:val="00A210B6"/>
    <w:rsid w:val="00A214E6"/>
    <w:rsid w:val="00A220E0"/>
    <w:rsid w:val="00A236AA"/>
    <w:rsid w:val="00A23709"/>
    <w:rsid w:val="00A239C4"/>
    <w:rsid w:val="00A24AE5"/>
    <w:rsid w:val="00A2502E"/>
    <w:rsid w:val="00A25201"/>
    <w:rsid w:val="00A2692E"/>
    <w:rsid w:val="00A27992"/>
    <w:rsid w:val="00A27AD2"/>
    <w:rsid w:val="00A305EB"/>
    <w:rsid w:val="00A31FBE"/>
    <w:rsid w:val="00A353CE"/>
    <w:rsid w:val="00A35A77"/>
    <w:rsid w:val="00A36025"/>
    <w:rsid w:val="00A3609E"/>
    <w:rsid w:val="00A3782E"/>
    <w:rsid w:val="00A37848"/>
    <w:rsid w:val="00A378B3"/>
    <w:rsid w:val="00A37C41"/>
    <w:rsid w:val="00A401A5"/>
    <w:rsid w:val="00A42C3C"/>
    <w:rsid w:val="00A42DD5"/>
    <w:rsid w:val="00A434EB"/>
    <w:rsid w:val="00A443E0"/>
    <w:rsid w:val="00A44C3E"/>
    <w:rsid w:val="00A50DEB"/>
    <w:rsid w:val="00A50EF9"/>
    <w:rsid w:val="00A5127A"/>
    <w:rsid w:val="00A51D94"/>
    <w:rsid w:val="00A5442A"/>
    <w:rsid w:val="00A54A3A"/>
    <w:rsid w:val="00A54E94"/>
    <w:rsid w:val="00A553AF"/>
    <w:rsid w:val="00A5544B"/>
    <w:rsid w:val="00A559C4"/>
    <w:rsid w:val="00A55E5B"/>
    <w:rsid w:val="00A5700B"/>
    <w:rsid w:val="00A60DFD"/>
    <w:rsid w:val="00A61C13"/>
    <w:rsid w:val="00A621CC"/>
    <w:rsid w:val="00A64CFB"/>
    <w:rsid w:val="00A651E5"/>
    <w:rsid w:val="00A660F9"/>
    <w:rsid w:val="00A67A6D"/>
    <w:rsid w:val="00A7108D"/>
    <w:rsid w:val="00A7134F"/>
    <w:rsid w:val="00A714D4"/>
    <w:rsid w:val="00A71821"/>
    <w:rsid w:val="00A7425C"/>
    <w:rsid w:val="00A75227"/>
    <w:rsid w:val="00A75AAB"/>
    <w:rsid w:val="00A77273"/>
    <w:rsid w:val="00A77C2A"/>
    <w:rsid w:val="00A80A93"/>
    <w:rsid w:val="00A8112B"/>
    <w:rsid w:val="00A8366F"/>
    <w:rsid w:val="00A83ACD"/>
    <w:rsid w:val="00A856CD"/>
    <w:rsid w:val="00A85A3A"/>
    <w:rsid w:val="00A86BC1"/>
    <w:rsid w:val="00A86CEC"/>
    <w:rsid w:val="00A909F4"/>
    <w:rsid w:val="00A90FFC"/>
    <w:rsid w:val="00A91711"/>
    <w:rsid w:val="00A92022"/>
    <w:rsid w:val="00A92C23"/>
    <w:rsid w:val="00A93CEE"/>
    <w:rsid w:val="00A956A5"/>
    <w:rsid w:val="00A95DBF"/>
    <w:rsid w:val="00A96702"/>
    <w:rsid w:val="00A97ECB"/>
    <w:rsid w:val="00AA016C"/>
    <w:rsid w:val="00AA175C"/>
    <w:rsid w:val="00AA2233"/>
    <w:rsid w:val="00AA3524"/>
    <w:rsid w:val="00AA4F23"/>
    <w:rsid w:val="00AA65B4"/>
    <w:rsid w:val="00AA77E6"/>
    <w:rsid w:val="00AB007A"/>
    <w:rsid w:val="00AB22FD"/>
    <w:rsid w:val="00AB249C"/>
    <w:rsid w:val="00AB287D"/>
    <w:rsid w:val="00AB3141"/>
    <w:rsid w:val="00AB3DDF"/>
    <w:rsid w:val="00AB3DEE"/>
    <w:rsid w:val="00AB41A3"/>
    <w:rsid w:val="00AB588B"/>
    <w:rsid w:val="00AB5EF7"/>
    <w:rsid w:val="00AB609D"/>
    <w:rsid w:val="00AB66B8"/>
    <w:rsid w:val="00AB6A40"/>
    <w:rsid w:val="00AB758A"/>
    <w:rsid w:val="00AB7E7C"/>
    <w:rsid w:val="00AC0319"/>
    <w:rsid w:val="00AC2268"/>
    <w:rsid w:val="00AC27AF"/>
    <w:rsid w:val="00AC3328"/>
    <w:rsid w:val="00AC4C94"/>
    <w:rsid w:val="00AC5992"/>
    <w:rsid w:val="00AC6597"/>
    <w:rsid w:val="00AC70C0"/>
    <w:rsid w:val="00AC7AEC"/>
    <w:rsid w:val="00AC7E8C"/>
    <w:rsid w:val="00AD27AC"/>
    <w:rsid w:val="00AD44F1"/>
    <w:rsid w:val="00AD4E9E"/>
    <w:rsid w:val="00AD5162"/>
    <w:rsid w:val="00AD621D"/>
    <w:rsid w:val="00AD75D8"/>
    <w:rsid w:val="00AD7B2C"/>
    <w:rsid w:val="00AD7CAC"/>
    <w:rsid w:val="00AD7DE4"/>
    <w:rsid w:val="00AE26D8"/>
    <w:rsid w:val="00AE3D01"/>
    <w:rsid w:val="00AE4193"/>
    <w:rsid w:val="00AE4FC4"/>
    <w:rsid w:val="00AE5260"/>
    <w:rsid w:val="00AE5612"/>
    <w:rsid w:val="00AE5941"/>
    <w:rsid w:val="00AE5CF7"/>
    <w:rsid w:val="00AE5F5F"/>
    <w:rsid w:val="00AE67B6"/>
    <w:rsid w:val="00AE6FFD"/>
    <w:rsid w:val="00AE7B65"/>
    <w:rsid w:val="00AF08A4"/>
    <w:rsid w:val="00AF0FEE"/>
    <w:rsid w:val="00AF2C4E"/>
    <w:rsid w:val="00AF3442"/>
    <w:rsid w:val="00AF49A0"/>
    <w:rsid w:val="00AF5D13"/>
    <w:rsid w:val="00AF6684"/>
    <w:rsid w:val="00AF6697"/>
    <w:rsid w:val="00AF67E0"/>
    <w:rsid w:val="00AF6942"/>
    <w:rsid w:val="00AF6F78"/>
    <w:rsid w:val="00AF7CFA"/>
    <w:rsid w:val="00B021E1"/>
    <w:rsid w:val="00B04908"/>
    <w:rsid w:val="00B05EB7"/>
    <w:rsid w:val="00B0641E"/>
    <w:rsid w:val="00B13B04"/>
    <w:rsid w:val="00B13C61"/>
    <w:rsid w:val="00B1435B"/>
    <w:rsid w:val="00B17226"/>
    <w:rsid w:val="00B1739F"/>
    <w:rsid w:val="00B17622"/>
    <w:rsid w:val="00B20435"/>
    <w:rsid w:val="00B2193F"/>
    <w:rsid w:val="00B21F28"/>
    <w:rsid w:val="00B226A5"/>
    <w:rsid w:val="00B31F44"/>
    <w:rsid w:val="00B32EF8"/>
    <w:rsid w:val="00B333E0"/>
    <w:rsid w:val="00B34169"/>
    <w:rsid w:val="00B36403"/>
    <w:rsid w:val="00B40610"/>
    <w:rsid w:val="00B40DB4"/>
    <w:rsid w:val="00B43529"/>
    <w:rsid w:val="00B441A3"/>
    <w:rsid w:val="00B441FD"/>
    <w:rsid w:val="00B44728"/>
    <w:rsid w:val="00B451B0"/>
    <w:rsid w:val="00B45828"/>
    <w:rsid w:val="00B45EB7"/>
    <w:rsid w:val="00B46299"/>
    <w:rsid w:val="00B46481"/>
    <w:rsid w:val="00B4788F"/>
    <w:rsid w:val="00B47A23"/>
    <w:rsid w:val="00B511C0"/>
    <w:rsid w:val="00B51807"/>
    <w:rsid w:val="00B51D11"/>
    <w:rsid w:val="00B52304"/>
    <w:rsid w:val="00B52C31"/>
    <w:rsid w:val="00B537AA"/>
    <w:rsid w:val="00B54926"/>
    <w:rsid w:val="00B54BEC"/>
    <w:rsid w:val="00B568D1"/>
    <w:rsid w:val="00B56F9E"/>
    <w:rsid w:val="00B57BF2"/>
    <w:rsid w:val="00B6040F"/>
    <w:rsid w:val="00B60D18"/>
    <w:rsid w:val="00B67905"/>
    <w:rsid w:val="00B70723"/>
    <w:rsid w:val="00B70A92"/>
    <w:rsid w:val="00B70AB4"/>
    <w:rsid w:val="00B74D75"/>
    <w:rsid w:val="00B75277"/>
    <w:rsid w:val="00B76567"/>
    <w:rsid w:val="00B7681D"/>
    <w:rsid w:val="00B770F9"/>
    <w:rsid w:val="00B8009C"/>
    <w:rsid w:val="00B82CF7"/>
    <w:rsid w:val="00B82E6C"/>
    <w:rsid w:val="00B82F43"/>
    <w:rsid w:val="00B83AEE"/>
    <w:rsid w:val="00B83E5B"/>
    <w:rsid w:val="00B840FF"/>
    <w:rsid w:val="00B850F5"/>
    <w:rsid w:val="00B85A5F"/>
    <w:rsid w:val="00B85D28"/>
    <w:rsid w:val="00B87697"/>
    <w:rsid w:val="00B878AE"/>
    <w:rsid w:val="00B91DFA"/>
    <w:rsid w:val="00B923AA"/>
    <w:rsid w:val="00B923D8"/>
    <w:rsid w:val="00B924CB"/>
    <w:rsid w:val="00B93BD7"/>
    <w:rsid w:val="00B95690"/>
    <w:rsid w:val="00B95C94"/>
    <w:rsid w:val="00B97CC7"/>
    <w:rsid w:val="00BA0BF9"/>
    <w:rsid w:val="00BA1742"/>
    <w:rsid w:val="00BA647E"/>
    <w:rsid w:val="00BA65CC"/>
    <w:rsid w:val="00BA6A1E"/>
    <w:rsid w:val="00BA779B"/>
    <w:rsid w:val="00BB02A2"/>
    <w:rsid w:val="00BB14E3"/>
    <w:rsid w:val="00BB1CD7"/>
    <w:rsid w:val="00BB2113"/>
    <w:rsid w:val="00BB2886"/>
    <w:rsid w:val="00BB3BE0"/>
    <w:rsid w:val="00BB4F1F"/>
    <w:rsid w:val="00BB4F87"/>
    <w:rsid w:val="00BB6955"/>
    <w:rsid w:val="00BB7076"/>
    <w:rsid w:val="00BC00FF"/>
    <w:rsid w:val="00BC1D8A"/>
    <w:rsid w:val="00BC2683"/>
    <w:rsid w:val="00BC2708"/>
    <w:rsid w:val="00BC3016"/>
    <w:rsid w:val="00BC31D7"/>
    <w:rsid w:val="00BC43CA"/>
    <w:rsid w:val="00BC671E"/>
    <w:rsid w:val="00BC7BDB"/>
    <w:rsid w:val="00BD06F3"/>
    <w:rsid w:val="00BD0888"/>
    <w:rsid w:val="00BD2382"/>
    <w:rsid w:val="00BD2393"/>
    <w:rsid w:val="00BD38A7"/>
    <w:rsid w:val="00BD4CB1"/>
    <w:rsid w:val="00BD5132"/>
    <w:rsid w:val="00BD5685"/>
    <w:rsid w:val="00BD58EC"/>
    <w:rsid w:val="00BD6C5E"/>
    <w:rsid w:val="00BD7054"/>
    <w:rsid w:val="00BD7122"/>
    <w:rsid w:val="00BD792B"/>
    <w:rsid w:val="00BE1180"/>
    <w:rsid w:val="00BE18EB"/>
    <w:rsid w:val="00BE1F7A"/>
    <w:rsid w:val="00BE5D74"/>
    <w:rsid w:val="00BE73E4"/>
    <w:rsid w:val="00BE7CA0"/>
    <w:rsid w:val="00BF1F32"/>
    <w:rsid w:val="00BF208A"/>
    <w:rsid w:val="00BF298E"/>
    <w:rsid w:val="00BF4528"/>
    <w:rsid w:val="00BF5015"/>
    <w:rsid w:val="00BF7CA8"/>
    <w:rsid w:val="00C000E6"/>
    <w:rsid w:val="00C00647"/>
    <w:rsid w:val="00C009AF"/>
    <w:rsid w:val="00C01E1B"/>
    <w:rsid w:val="00C0209D"/>
    <w:rsid w:val="00C036B0"/>
    <w:rsid w:val="00C04454"/>
    <w:rsid w:val="00C05500"/>
    <w:rsid w:val="00C05997"/>
    <w:rsid w:val="00C070F9"/>
    <w:rsid w:val="00C07940"/>
    <w:rsid w:val="00C07E4A"/>
    <w:rsid w:val="00C10A53"/>
    <w:rsid w:val="00C119F3"/>
    <w:rsid w:val="00C11B1A"/>
    <w:rsid w:val="00C124C9"/>
    <w:rsid w:val="00C13846"/>
    <w:rsid w:val="00C1558A"/>
    <w:rsid w:val="00C1572B"/>
    <w:rsid w:val="00C1578D"/>
    <w:rsid w:val="00C16034"/>
    <w:rsid w:val="00C16E65"/>
    <w:rsid w:val="00C22453"/>
    <w:rsid w:val="00C22AF4"/>
    <w:rsid w:val="00C25269"/>
    <w:rsid w:val="00C27E5A"/>
    <w:rsid w:val="00C30124"/>
    <w:rsid w:val="00C351D5"/>
    <w:rsid w:val="00C3758D"/>
    <w:rsid w:val="00C409F1"/>
    <w:rsid w:val="00C409F2"/>
    <w:rsid w:val="00C40C60"/>
    <w:rsid w:val="00C40EFF"/>
    <w:rsid w:val="00C426BD"/>
    <w:rsid w:val="00C45761"/>
    <w:rsid w:val="00C45A7D"/>
    <w:rsid w:val="00C45FF9"/>
    <w:rsid w:val="00C46270"/>
    <w:rsid w:val="00C468A3"/>
    <w:rsid w:val="00C50409"/>
    <w:rsid w:val="00C5062D"/>
    <w:rsid w:val="00C50F27"/>
    <w:rsid w:val="00C52444"/>
    <w:rsid w:val="00C52481"/>
    <w:rsid w:val="00C53F0E"/>
    <w:rsid w:val="00C54E52"/>
    <w:rsid w:val="00C55548"/>
    <w:rsid w:val="00C55AF6"/>
    <w:rsid w:val="00C561A1"/>
    <w:rsid w:val="00C57185"/>
    <w:rsid w:val="00C576DE"/>
    <w:rsid w:val="00C577C2"/>
    <w:rsid w:val="00C60374"/>
    <w:rsid w:val="00C61701"/>
    <w:rsid w:val="00C61747"/>
    <w:rsid w:val="00C61D9F"/>
    <w:rsid w:val="00C62315"/>
    <w:rsid w:val="00C626FC"/>
    <w:rsid w:val="00C64AEC"/>
    <w:rsid w:val="00C65F10"/>
    <w:rsid w:val="00C7066D"/>
    <w:rsid w:val="00C7077D"/>
    <w:rsid w:val="00C70A50"/>
    <w:rsid w:val="00C73A66"/>
    <w:rsid w:val="00C74001"/>
    <w:rsid w:val="00C746D5"/>
    <w:rsid w:val="00C74CE6"/>
    <w:rsid w:val="00C750F1"/>
    <w:rsid w:val="00C75D0D"/>
    <w:rsid w:val="00C77592"/>
    <w:rsid w:val="00C775F0"/>
    <w:rsid w:val="00C77D07"/>
    <w:rsid w:val="00C80094"/>
    <w:rsid w:val="00C8459E"/>
    <w:rsid w:val="00C84730"/>
    <w:rsid w:val="00C84860"/>
    <w:rsid w:val="00C85E93"/>
    <w:rsid w:val="00C86B6E"/>
    <w:rsid w:val="00C876AB"/>
    <w:rsid w:val="00C921C6"/>
    <w:rsid w:val="00C9312C"/>
    <w:rsid w:val="00C94EC2"/>
    <w:rsid w:val="00C97AEA"/>
    <w:rsid w:val="00C97B27"/>
    <w:rsid w:val="00CA0726"/>
    <w:rsid w:val="00CA1661"/>
    <w:rsid w:val="00CA54D2"/>
    <w:rsid w:val="00CA5C6C"/>
    <w:rsid w:val="00CA5D90"/>
    <w:rsid w:val="00CA64A4"/>
    <w:rsid w:val="00CB0890"/>
    <w:rsid w:val="00CB11A7"/>
    <w:rsid w:val="00CB2000"/>
    <w:rsid w:val="00CB2DFE"/>
    <w:rsid w:val="00CB3C2F"/>
    <w:rsid w:val="00CB4D58"/>
    <w:rsid w:val="00CB621C"/>
    <w:rsid w:val="00CB6915"/>
    <w:rsid w:val="00CC02F2"/>
    <w:rsid w:val="00CC13CF"/>
    <w:rsid w:val="00CC188E"/>
    <w:rsid w:val="00CC2DBD"/>
    <w:rsid w:val="00CC3A27"/>
    <w:rsid w:val="00CC62A7"/>
    <w:rsid w:val="00CC69FA"/>
    <w:rsid w:val="00CC6B34"/>
    <w:rsid w:val="00CC7127"/>
    <w:rsid w:val="00CC7DE8"/>
    <w:rsid w:val="00CD026B"/>
    <w:rsid w:val="00CD09B4"/>
    <w:rsid w:val="00CD1F1C"/>
    <w:rsid w:val="00CD28D9"/>
    <w:rsid w:val="00CD2E65"/>
    <w:rsid w:val="00CD3D1F"/>
    <w:rsid w:val="00CD5A18"/>
    <w:rsid w:val="00CD5A77"/>
    <w:rsid w:val="00CD5ADE"/>
    <w:rsid w:val="00CD692B"/>
    <w:rsid w:val="00CD6C50"/>
    <w:rsid w:val="00CD6EE8"/>
    <w:rsid w:val="00CD7684"/>
    <w:rsid w:val="00CD7773"/>
    <w:rsid w:val="00CE019E"/>
    <w:rsid w:val="00CE0C47"/>
    <w:rsid w:val="00CE3085"/>
    <w:rsid w:val="00CE323F"/>
    <w:rsid w:val="00CE4271"/>
    <w:rsid w:val="00CE691B"/>
    <w:rsid w:val="00CE78B9"/>
    <w:rsid w:val="00CF30F8"/>
    <w:rsid w:val="00CF3F07"/>
    <w:rsid w:val="00CF3FA0"/>
    <w:rsid w:val="00CF487F"/>
    <w:rsid w:val="00CF48A1"/>
    <w:rsid w:val="00CF50AF"/>
    <w:rsid w:val="00CF5CD9"/>
    <w:rsid w:val="00CF67F1"/>
    <w:rsid w:val="00CF6B24"/>
    <w:rsid w:val="00D004DE"/>
    <w:rsid w:val="00D00BEC"/>
    <w:rsid w:val="00D01E73"/>
    <w:rsid w:val="00D02757"/>
    <w:rsid w:val="00D030F7"/>
    <w:rsid w:val="00D0314D"/>
    <w:rsid w:val="00D05F0E"/>
    <w:rsid w:val="00D0706D"/>
    <w:rsid w:val="00D072A6"/>
    <w:rsid w:val="00D100C9"/>
    <w:rsid w:val="00D10BB2"/>
    <w:rsid w:val="00D111D2"/>
    <w:rsid w:val="00D11200"/>
    <w:rsid w:val="00D12D91"/>
    <w:rsid w:val="00D13581"/>
    <w:rsid w:val="00D13DA8"/>
    <w:rsid w:val="00D14F3F"/>
    <w:rsid w:val="00D15DE5"/>
    <w:rsid w:val="00D16178"/>
    <w:rsid w:val="00D17059"/>
    <w:rsid w:val="00D2048F"/>
    <w:rsid w:val="00D2190D"/>
    <w:rsid w:val="00D21964"/>
    <w:rsid w:val="00D226CC"/>
    <w:rsid w:val="00D257BF"/>
    <w:rsid w:val="00D25C41"/>
    <w:rsid w:val="00D2665C"/>
    <w:rsid w:val="00D267E9"/>
    <w:rsid w:val="00D31A22"/>
    <w:rsid w:val="00D32A56"/>
    <w:rsid w:val="00D32CD6"/>
    <w:rsid w:val="00D33728"/>
    <w:rsid w:val="00D33E6D"/>
    <w:rsid w:val="00D355AF"/>
    <w:rsid w:val="00D36874"/>
    <w:rsid w:val="00D40E10"/>
    <w:rsid w:val="00D410DF"/>
    <w:rsid w:val="00D417F5"/>
    <w:rsid w:val="00D4185E"/>
    <w:rsid w:val="00D419D3"/>
    <w:rsid w:val="00D41DEC"/>
    <w:rsid w:val="00D41F1D"/>
    <w:rsid w:val="00D424F4"/>
    <w:rsid w:val="00D425C4"/>
    <w:rsid w:val="00D4490A"/>
    <w:rsid w:val="00D5010F"/>
    <w:rsid w:val="00D5048F"/>
    <w:rsid w:val="00D508C8"/>
    <w:rsid w:val="00D50E3E"/>
    <w:rsid w:val="00D54855"/>
    <w:rsid w:val="00D55DB4"/>
    <w:rsid w:val="00D56D2D"/>
    <w:rsid w:val="00D603C6"/>
    <w:rsid w:val="00D61E00"/>
    <w:rsid w:val="00D641FB"/>
    <w:rsid w:val="00D6635E"/>
    <w:rsid w:val="00D706D1"/>
    <w:rsid w:val="00D707FE"/>
    <w:rsid w:val="00D70B9C"/>
    <w:rsid w:val="00D71AF2"/>
    <w:rsid w:val="00D73671"/>
    <w:rsid w:val="00D73A2B"/>
    <w:rsid w:val="00D74914"/>
    <w:rsid w:val="00D750AE"/>
    <w:rsid w:val="00D754B4"/>
    <w:rsid w:val="00D75959"/>
    <w:rsid w:val="00D76110"/>
    <w:rsid w:val="00D765FC"/>
    <w:rsid w:val="00D76E1A"/>
    <w:rsid w:val="00D80CF6"/>
    <w:rsid w:val="00D80F14"/>
    <w:rsid w:val="00D8137A"/>
    <w:rsid w:val="00D8264B"/>
    <w:rsid w:val="00D82EFE"/>
    <w:rsid w:val="00D84977"/>
    <w:rsid w:val="00D85F52"/>
    <w:rsid w:val="00D871F2"/>
    <w:rsid w:val="00D9028D"/>
    <w:rsid w:val="00D91F21"/>
    <w:rsid w:val="00D93046"/>
    <w:rsid w:val="00D935CD"/>
    <w:rsid w:val="00D937C7"/>
    <w:rsid w:val="00D93B71"/>
    <w:rsid w:val="00D94273"/>
    <w:rsid w:val="00D944A0"/>
    <w:rsid w:val="00D9457E"/>
    <w:rsid w:val="00D946E9"/>
    <w:rsid w:val="00D958DC"/>
    <w:rsid w:val="00DA11FD"/>
    <w:rsid w:val="00DA2F78"/>
    <w:rsid w:val="00DA32F4"/>
    <w:rsid w:val="00DA3594"/>
    <w:rsid w:val="00DA4BDE"/>
    <w:rsid w:val="00DA5D63"/>
    <w:rsid w:val="00DA6550"/>
    <w:rsid w:val="00DA7EB6"/>
    <w:rsid w:val="00DB01EA"/>
    <w:rsid w:val="00DB090F"/>
    <w:rsid w:val="00DB1008"/>
    <w:rsid w:val="00DB2502"/>
    <w:rsid w:val="00DB45CC"/>
    <w:rsid w:val="00DB4AD7"/>
    <w:rsid w:val="00DB4E39"/>
    <w:rsid w:val="00DB50E5"/>
    <w:rsid w:val="00DB59FE"/>
    <w:rsid w:val="00DB7E41"/>
    <w:rsid w:val="00DC06AC"/>
    <w:rsid w:val="00DC1BF6"/>
    <w:rsid w:val="00DC2FDC"/>
    <w:rsid w:val="00DC3A4D"/>
    <w:rsid w:val="00DC4E58"/>
    <w:rsid w:val="00DC4F05"/>
    <w:rsid w:val="00DC4FA6"/>
    <w:rsid w:val="00DC500F"/>
    <w:rsid w:val="00DC5320"/>
    <w:rsid w:val="00DC687E"/>
    <w:rsid w:val="00DC6CB2"/>
    <w:rsid w:val="00DC76AE"/>
    <w:rsid w:val="00DC7FA8"/>
    <w:rsid w:val="00DD1E51"/>
    <w:rsid w:val="00DD230C"/>
    <w:rsid w:val="00DD2358"/>
    <w:rsid w:val="00DD2FD7"/>
    <w:rsid w:val="00DD3BC9"/>
    <w:rsid w:val="00DD585A"/>
    <w:rsid w:val="00DD7C3F"/>
    <w:rsid w:val="00DE0364"/>
    <w:rsid w:val="00DE0C34"/>
    <w:rsid w:val="00DE27DF"/>
    <w:rsid w:val="00DE2DF3"/>
    <w:rsid w:val="00DE3B31"/>
    <w:rsid w:val="00DE3F77"/>
    <w:rsid w:val="00DE6E0E"/>
    <w:rsid w:val="00DE7014"/>
    <w:rsid w:val="00DF4490"/>
    <w:rsid w:val="00DF52FA"/>
    <w:rsid w:val="00DF6C28"/>
    <w:rsid w:val="00E00B48"/>
    <w:rsid w:val="00E0306B"/>
    <w:rsid w:val="00E030EE"/>
    <w:rsid w:val="00E03B33"/>
    <w:rsid w:val="00E0478A"/>
    <w:rsid w:val="00E0687F"/>
    <w:rsid w:val="00E06E7C"/>
    <w:rsid w:val="00E0752F"/>
    <w:rsid w:val="00E0753D"/>
    <w:rsid w:val="00E07CC4"/>
    <w:rsid w:val="00E10627"/>
    <w:rsid w:val="00E108C3"/>
    <w:rsid w:val="00E11F03"/>
    <w:rsid w:val="00E120B9"/>
    <w:rsid w:val="00E136D3"/>
    <w:rsid w:val="00E13758"/>
    <w:rsid w:val="00E145D0"/>
    <w:rsid w:val="00E148F3"/>
    <w:rsid w:val="00E151DA"/>
    <w:rsid w:val="00E15382"/>
    <w:rsid w:val="00E16010"/>
    <w:rsid w:val="00E20944"/>
    <w:rsid w:val="00E217DD"/>
    <w:rsid w:val="00E21BD8"/>
    <w:rsid w:val="00E236DD"/>
    <w:rsid w:val="00E238A2"/>
    <w:rsid w:val="00E24A1D"/>
    <w:rsid w:val="00E27126"/>
    <w:rsid w:val="00E27C11"/>
    <w:rsid w:val="00E305D0"/>
    <w:rsid w:val="00E30837"/>
    <w:rsid w:val="00E3243B"/>
    <w:rsid w:val="00E335D8"/>
    <w:rsid w:val="00E33707"/>
    <w:rsid w:val="00E34005"/>
    <w:rsid w:val="00E413AB"/>
    <w:rsid w:val="00E41819"/>
    <w:rsid w:val="00E41924"/>
    <w:rsid w:val="00E43274"/>
    <w:rsid w:val="00E43997"/>
    <w:rsid w:val="00E460F0"/>
    <w:rsid w:val="00E4646D"/>
    <w:rsid w:val="00E4665E"/>
    <w:rsid w:val="00E47E75"/>
    <w:rsid w:val="00E47EB7"/>
    <w:rsid w:val="00E53F0F"/>
    <w:rsid w:val="00E53F38"/>
    <w:rsid w:val="00E55AE7"/>
    <w:rsid w:val="00E561C6"/>
    <w:rsid w:val="00E5631D"/>
    <w:rsid w:val="00E56DB4"/>
    <w:rsid w:val="00E5739C"/>
    <w:rsid w:val="00E57440"/>
    <w:rsid w:val="00E60E0E"/>
    <w:rsid w:val="00E63BD5"/>
    <w:rsid w:val="00E6440B"/>
    <w:rsid w:val="00E64E71"/>
    <w:rsid w:val="00E66DD0"/>
    <w:rsid w:val="00E73E35"/>
    <w:rsid w:val="00E76407"/>
    <w:rsid w:val="00E77FE9"/>
    <w:rsid w:val="00E807BA"/>
    <w:rsid w:val="00E808C4"/>
    <w:rsid w:val="00E80F7E"/>
    <w:rsid w:val="00E813C1"/>
    <w:rsid w:val="00E8164C"/>
    <w:rsid w:val="00E82B5F"/>
    <w:rsid w:val="00E82F83"/>
    <w:rsid w:val="00E83F3E"/>
    <w:rsid w:val="00E866EC"/>
    <w:rsid w:val="00E86880"/>
    <w:rsid w:val="00E87666"/>
    <w:rsid w:val="00E9028D"/>
    <w:rsid w:val="00E90D94"/>
    <w:rsid w:val="00E90E76"/>
    <w:rsid w:val="00E91268"/>
    <w:rsid w:val="00E93123"/>
    <w:rsid w:val="00E936AA"/>
    <w:rsid w:val="00E95194"/>
    <w:rsid w:val="00E95DC7"/>
    <w:rsid w:val="00E9607B"/>
    <w:rsid w:val="00E960C1"/>
    <w:rsid w:val="00E96F65"/>
    <w:rsid w:val="00E97B88"/>
    <w:rsid w:val="00EA0B54"/>
    <w:rsid w:val="00EA24C8"/>
    <w:rsid w:val="00EA275D"/>
    <w:rsid w:val="00EA2E7E"/>
    <w:rsid w:val="00EA34C9"/>
    <w:rsid w:val="00EA4F4B"/>
    <w:rsid w:val="00EA5BBB"/>
    <w:rsid w:val="00EA7736"/>
    <w:rsid w:val="00EA7C14"/>
    <w:rsid w:val="00EB10A7"/>
    <w:rsid w:val="00EB1E2D"/>
    <w:rsid w:val="00EB2328"/>
    <w:rsid w:val="00EB2542"/>
    <w:rsid w:val="00EB3DB4"/>
    <w:rsid w:val="00EB48A2"/>
    <w:rsid w:val="00EB4F5B"/>
    <w:rsid w:val="00EB52E4"/>
    <w:rsid w:val="00EB5B64"/>
    <w:rsid w:val="00EB6DE7"/>
    <w:rsid w:val="00EB6ED3"/>
    <w:rsid w:val="00EB71F5"/>
    <w:rsid w:val="00EB7873"/>
    <w:rsid w:val="00EC0248"/>
    <w:rsid w:val="00EC07C3"/>
    <w:rsid w:val="00EC1574"/>
    <w:rsid w:val="00EC38AD"/>
    <w:rsid w:val="00EC5306"/>
    <w:rsid w:val="00EC5460"/>
    <w:rsid w:val="00EC661F"/>
    <w:rsid w:val="00ED0396"/>
    <w:rsid w:val="00ED1831"/>
    <w:rsid w:val="00ED1E12"/>
    <w:rsid w:val="00ED1EEB"/>
    <w:rsid w:val="00ED2F35"/>
    <w:rsid w:val="00ED4442"/>
    <w:rsid w:val="00ED483B"/>
    <w:rsid w:val="00ED694A"/>
    <w:rsid w:val="00ED76D9"/>
    <w:rsid w:val="00EE2613"/>
    <w:rsid w:val="00EE3343"/>
    <w:rsid w:val="00EE55F6"/>
    <w:rsid w:val="00EE59EB"/>
    <w:rsid w:val="00EE5D1E"/>
    <w:rsid w:val="00EE65A3"/>
    <w:rsid w:val="00EF089E"/>
    <w:rsid w:val="00EF0A7F"/>
    <w:rsid w:val="00EF0D43"/>
    <w:rsid w:val="00EF18E9"/>
    <w:rsid w:val="00EF2A8E"/>
    <w:rsid w:val="00EF3E61"/>
    <w:rsid w:val="00EF4B45"/>
    <w:rsid w:val="00F03071"/>
    <w:rsid w:val="00F033CC"/>
    <w:rsid w:val="00F060A4"/>
    <w:rsid w:val="00F06124"/>
    <w:rsid w:val="00F06739"/>
    <w:rsid w:val="00F06B23"/>
    <w:rsid w:val="00F06B2D"/>
    <w:rsid w:val="00F070E7"/>
    <w:rsid w:val="00F07523"/>
    <w:rsid w:val="00F07977"/>
    <w:rsid w:val="00F132D8"/>
    <w:rsid w:val="00F135C3"/>
    <w:rsid w:val="00F13A18"/>
    <w:rsid w:val="00F155C2"/>
    <w:rsid w:val="00F15966"/>
    <w:rsid w:val="00F15D40"/>
    <w:rsid w:val="00F16B10"/>
    <w:rsid w:val="00F170C8"/>
    <w:rsid w:val="00F1739A"/>
    <w:rsid w:val="00F21032"/>
    <w:rsid w:val="00F231AB"/>
    <w:rsid w:val="00F24BB1"/>
    <w:rsid w:val="00F24E72"/>
    <w:rsid w:val="00F262D6"/>
    <w:rsid w:val="00F304EE"/>
    <w:rsid w:val="00F30705"/>
    <w:rsid w:val="00F31887"/>
    <w:rsid w:val="00F34F2B"/>
    <w:rsid w:val="00F35671"/>
    <w:rsid w:val="00F3609E"/>
    <w:rsid w:val="00F366DA"/>
    <w:rsid w:val="00F400C4"/>
    <w:rsid w:val="00F40A43"/>
    <w:rsid w:val="00F40F15"/>
    <w:rsid w:val="00F4109A"/>
    <w:rsid w:val="00F41E90"/>
    <w:rsid w:val="00F42FE1"/>
    <w:rsid w:val="00F435BD"/>
    <w:rsid w:val="00F43FC2"/>
    <w:rsid w:val="00F44523"/>
    <w:rsid w:val="00F46092"/>
    <w:rsid w:val="00F465E4"/>
    <w:rsid w:val="00F4710F"/>
    <w:rsid w:val="00F476BC"/>
    <w:rsid w:val="00F505B2"/>
    <w:rsid w:val="00F50772"/>
    <w:rsid w:val="00F51769"/>
    <w:rsid w:val="00F51A48"/>
    <w:rsid w:val="00F53A81"/>
    <w:rsid w:val="00F554F1"/>
    <w:rsid w:val="00F560EC"/>
    <w:rsid w:val="00F567AD"/>
    <w:rsid w:val="00F57D8D"/>
    <w:rsid w:val="00F60E88"/>
    <w:rsid w:val="00F6124B"/>
    <w:rsid w:val="00F617B7"/>
    <w:rsid w:val="00F62C9C"/>
    <w:rsid w:val="00F62DA5"/>
    <w:rsid w:val="00F6444E"/>
    <w:rsid w:val="00F71E6F"/>
    <w:rsid w:val="00F73B29"/>
    <w:rsid w:val="00F75582"/>
    <w:rsid w:val="00F757F6"/>
    <w:rsid w:val="00F823B7"/>
    <w:rsid w:val="00F82B69"/>
    <w:rsid w:val="00F84012"/>
    <w:rsid w:val="00F840D9"/>
    <w:rsid w:val="00F86321"/>
    <w:rsid w:val="00F86950"/>
    <w:rsid w:val="00F90437"/>
    <w:rsid w:val="00F91188"/>
    <w:rsid w:val="00F91A47"/>
    <w:rsid w:val="00F93C29"/>
    <w:rsid w:val="00F94BC9"/>
    <w:rsid w:val="00F9546C"/>
    <w:rsid w:val="00F95DC5"/>
    <w:rsid w:val="00F96CF9"/>
    <w:rsid w:val="00F97B72"/>
    <w:rsid w:val="00FA0E4B"/>
    <w:rsid w:val="00FA10A8"/>
    <w:rsid w:val="00FA1427"/>
    <w:rsid w:val="00FA16E0"/>
    <w:rsid w:val="00FA26B2"/>
    <w:rsid w:val="00FA2C8A"/>
    <w:rsid w:val="00FA45BA"/>
    <w:rsid w:val="00FA4B03"/>
    <w:rsid w:val="00FA5296"/>
    <w:rsid w:val="00FA64E0"/>
    <w:rsid w:val="00FA65EA"/>
    <w:rsid w:val="00FA748E"/>
    <w:rsid w:val="00FB0E0E"/>
    <w:rsid w:val="00FB14B5"/>
    <w:rsid w:val="00FB1A73"/>
    <w:rsid w:val="00FB1B56"/>
    <w:rsid w:val="00FB1F93"/>
    <w:rsid w:val="00FB3C1D"/>
    <w:rsid w:val="00FB431C"/>
    <w:rsid w:val="00FB48DF"/>
    <w:rsid w:val="00FB583E"/>
    <w:rsid w:val="00FB5972"/>
    <w:rsid w:val="00FB632F"/>
    <w:rsid w:val="00FB63F5"/>
    <w:rsid w:val="00FC06E8"/>
    <w:rsid w:val="00FC07D0"/>
    <w:rsid w:val="00FC15A3"/>
    <w:rsid w:val="00FC2149"/>
    <w:rsid w:val="00FC22FD"/>
    <w:rsid w:val="00FC36B2"/>
    <w:rsid w:val="00FC3BAF"/>
    <w:rsid w:val="00FC5755"/>
    <w:rsid w:val="00FC5824"/>
    <w:rsid w:val="00FC5D22"/>
    <w:rsid w:val="00FC62DA"/>
    <w:rsid w:val="00FD01BA"/>
    <w:rsid w:val="00FD0CA5"/>
    <w:rsid w:val="00FD1F68"/>
    <w:rsid w:val="00FD2B37"/>
    <w:rsid w:val="00FD4012"/>
    <w:rsid w:val="00FD464E"/>
    <w:rsid w:val="00FD4DCA"/>
    <w:rsid w:val="00FD7247"/>
    <w:rsid w:val="00FD7B7D"/>
    <w:rsid w:val="00FE161E"/>
    <w:rsid w:val="00FE1E5B"/>
    <w:rsid w:val="00FE20F3"/>
    <w:rsid w:val="00FE2CA6"/>
    <w:rsid w:val="00FE4106"/>
    <w:rsid w:val="00FE4D45"/>
    <w:rsid w:val="00FE6CDD"/>
    <w:rsid w:val="00FE6E9A"/>
    <w:rsid w:val="00FF27C7"/>
    <w:rsid w:val="00FF3725"/>
    <w:rsid w:val="00FF4F25"/>
    <w:rsid w:val="00FF5079"/>
    <w:rsid w:val="00FF5E68"/>
    <w:rsid w:val="00FF6678"/>
    <w:rsid w:val="00FF6B57"/>
    <w:rsid w:val="01536828"/>
    <w:rsid w:val="01754677"/>
    <w:rsid w:val="01831319"/>
    <w:rsid w:val="01D90BA9"/>
    <w:rsid w:val="023475E7"/>
    <w:rsid w:val="02466C0F"/>
    <w:rsid w:val="02EC3B6C"/>
    <w:rsid w:val="02F94D89"/>
    <w:rsid w:val="03526F36"/>
    <w:rsid w:val="037D1C65"/>
    <w:rsid w:val="03C5361E"/>
    <w:rsid w:val="03D32DA0"/>
    <w:rsid w:val="04766C59"/>
    <w:rsid w:val="04825A0D"/>
    <w:rsid w:val="04A31D8B"/>
    <w:rsid w:val="05094563"/>
    <w:rsid w:val="05401EC9"/>
    <w:rsid w:val="05B9265E"/>
    <w:rsid w:val="060A3211"/>
    <w:rsid w:val="06D71690"/>
    <w:rsid w:val="076313C3"/>
    <w:rsid w:val="091404E7"/>
    <w:rsid w:val="098A214A"/>
    <w:rsid w:val="0A450ED6"/>
    <w:rsid w:val="0B0F2D04"/>
    <w:rsid w:val="0C886595"/>
    <w:rsid w:val="0D16323C"/>
    <w:rsid w:val="0D5071B2"/>
    <w:rsid w:val="0DF57376"/>
    <w:rsid w:val="0ED66A9C"/>
    <w:rsid w:val="0EE42840"/>
    <w:rsid w:val="0EEA3D60"/>
    <w:rsid w:val="0F5E66DA"/>
    <w:rsid w:val="0FA1450E"/>
    <w:rsid w:val="0FB82AE2"/>
    <w:rsid w:val="10355CD8"/>
    <w:rsid w:val="10A51D68"/>
    <w:rsid w:val="10AD6E17"/>
    <w:rsid w:val="11652520"/>
    <w:rsid w:val="116C35A3"/>
    <w:rsid w:val="11886A8C"/>
    <w:rsid w:val="118C1D32"/>
    <w:rsid w:val="11A4661F"/>
    <w:rsid w:val="11D87DD4"/>
    <w:rsid w:val="1247431B"/>
    <w:rsid w:val="126B5585"/>
    <w:rsid w:val="12805F1B"/>
    <w:rsid w:val="12F8546F"/>
    <w:rsid w:val="1350155A"/>
    <w:rsid w:val="13634496"/>
    <w:rsid w:val="137152C5"/>
    <w:rsid w:val="13C05750"/>
    <w:rsid w:val="14CA6798"/>
    <w:rsid w:val="15122A65"/>
    <w:rsid w:val="15313B11"/>
    <w:rsid w:val="15C471D9"/>
    <w:rsid w:val="15E6739A"/>
    <w:rsid w:val="15F41C2D"/>
    <w:rsid w:val="16837FC9"/>
    <w:rsid w:val="16DC6DD2"/>
    <w:rsid w:val="173E1D7D"/>
    <w:rsid w:val="17C65EAD"/>
    <w:rsid w:val="182D08A0"/>
    <w:rsid w:val="186D7DFF"/>
    <w:rsid w:val="18C73D5E"/>
    <w:rsid w:val="18E014CC"/>
    <w:rsid w:val="196E0FB9"/>
    <w:rsid w:val="1A084B11"/>
    <w:rsid w:val="1A780E0C"/>
    <w:rsid w:val="1AB34A72"/>
    <w:rsid w:val="1B090B9F"/>
    <w:rsid w:val="1B6574F8"/>
    <w:rsid w:val="1B7064F0"/>
    <w:rsid w:val="1BE13E32"/>
    <w:rsid w:val="1C1D3E12"/>
    <w:rsid w:val="1C536694"/>
    <w:rsid w:val="1C544C24"/>
    <w:rsid w:val="1CCB69AE"/>
    <w:rsid w:val="1D9568B3"/>
    <w:rsid w:val="1DB71E11"/>
    <w:rsid w:val="1DE9586F"/>
    <w:rsid w:val="1E472696"/>
    <w:rsid w:val="1F48411A"/>
    <w:rsid w:val="1F595F85"/>
    <w:rsid w:val="1F8D64D3"/>
    <w:rsid w:val="1FC2097B"/>
    <w:rsid w:val="1FFB7601"/>
    <w:rsid w:val="209059E5"/>
    <w:rsid w:val="215022CD"/>
    <w:rsid w:val="22941C58"/>
    <w:rsid w:val="22C349A9"/>
    <w:rsid w:val="247C0A39"/>
    <w:rsid w:val="24F37105"/>
    <w:rsid w:val="251F313B"/>
    <w:rsid w:val="25FE5D22"/>
    <w:rsid w:val="26137E96"/>
    <w:rsid w:val="261652CF"/>
    <w:rsid w:val="265D7800"/>
    <w:rsid w:val="2703494C"/>
    <w:rsid w:val="2746255F"/>
    <w:rsid w:val="28A0303D"/>
    <w:rsid w:val="28E84059"/>
    <w:rsid w:val="28EC18AC"/>
    <w:rsid w:val="295D2E59"/>
    <w:rsid w:val="297021E8"/>
    <w:rsid w:val="29B02168"/>
    <w:rsid w:val="29E66CB9"/>
    <w:rsid w:val="2A3630FD"/>
    <w:rsid w:val="2B6B2B70"/>
    <w:rsid w:val="2BBA17EE"/>
    <w:rsid w:val="2BC84F7E"/>
    <w:rsid w:val="2BCC30B0"/>
    <w:rsid w:val="2BD02631"/>
    <w:rsid w:val="2BD60BAF"/>
    <w:rsid w:val="2C3C5529"/>
    <w:rsid w:val="2CBC0E38"/>
    <w:rsid w:val="2D547316"/>
    <w:rsid w:val="2D556ABB"/>
    <w:rsid w:val="2DB13BF8"/>
    <w:rsid w:val="2DBA57C0"/>
    <w:rsid w:val="2E0252E2"/>
    <w:rsid w:val="2E6F1E0D"/>
    <w:rsid w:val="2E8808A1"/>
    <w:rsid w:val="2EE2587B"/>
    <w:rsid w:val="2EFB0C18"/>
    <w:rsid w:val="2F1B7E66"/>
    <w:rsid w:val="2F2307F8"/>
    <w:rsid w:val="2F236F4D"/>
    <w:rsid w:val="2F687D53"/>
    <w:rsid w:val="2F8211D7"/>
    <w:rsid w:val="2F9A5563"/>
    <w:rsid w:val="30003B7D"/>
    <w:rsid w:val="30414686"/>
    <w:rsid w:val="307749CF"/>
    <w:rsid w:val="308800EC"/>
    <w:rsid w:val="30B42764"/>
    <w:rsid w:val="31021657"/>
    <w:rsid w:val="31472444"/>
    <w:rsid w:val="32B349CC"/>
    <w:rsid w:val="32C876C9"/>
    <w:rsid w:val="33097324"/>
    <w:rsid w:val="33292966"/>
    <w:rsid w:val="336039D7"/>
    <w:rsid w:val="338A3D03"/>
    <w:rsid w:val="33E54268"/>
    <w:rsid w:val="343652C4"/>
    <w:rsid w:val="343858C6"/>
    <w:rsid w:val="34633E68"/>
    <w:rsid w:val="34C27114"/>
    <w:rsid w:val="34EB2156"/>
    <w:rsid w:val="353718CA"/>
    <w:rsid w:val="354A2A79"/>
    <w:rsid w:val="35680947"/>
    <w:rsid w:val="360F3B4B"/>
    <w:rsid w:val="362135D0"/>
    <w:rsid w:val="36597246"/>
    <w:rsid w:val="36986649"/>
    <w:rsid w:val="369C4A9C"/>
    <w:rsid w:val="36FE7F20"/>
    <w:rsid w:val="373276E2"/>
    <w:rsid w:val="38957696"/>
    <w:rsid w:val="38963213"/>
    <w:rsid w:val="389C16AF"/>
    <w:rsid w:val="38D5171B"/>
    <w:rsid w:val="39236073"/>
    <w:rsid w:val="39385F2F"/>
    <w:rsid w:val="393E309C"/>
    <w:rsid w:val="39922253"/>
    <w:rsid w:val="3A9A3683"/>
    <w:rsid w:val="3B3047FF"/>
    <w:rsid w:val="3B6B475E"/>
    <w:rsid w:val="3BA265D1"/>
    <w:rsid w:val="3BB26DDF"/>
    <w:rsid w:val="3BEB515F"/>
    <w:rsid w:val="3C1E2E53"/>
    <w:rsid w:val="3C2C48D2"/>
    <w:rsid w:val="3C7A1E60"/>
    <w:rsid w:val="3C862210"/>
    <w:rsid w:val="3C8646A7"/>
    <w:rsid w:val="3D483A82"/>
    <w:rsid w:val="3DF02919"/>
    <w:rsid w:val="3E257B39"/>
    <w:rsid w:val="3E6B498D"/>
    <w:rsid w:val="3F410248"/>
    <w:rsid w:val="3F647D16"/>
    <w:rsid w:val="3F8C1044"/>
    <w:rsid w:val="3FF35F55"/>
    <w:rsid w:val="40201770"/>
    <w:rsid w:val="405C4BA3"/>
    <w:rsid w:val="40BF09A1"/>
    <w:rsid w:val="40FE6EA5"/>
    <w:rsid w:val="41181B51"/>
    <w:rsid w:val="412D68AA"/>
    <w:rsid w:val="42265BA4"/>
    <w:rsid w:val="43632085"/>
    <w:rsid w:val="43FC6727"/>
    <w:rsid w:val="442A786B"/>
    <w:rsid w:val="44336704"/>
    <w:rsid w:val="44BE54D7"/>
    <w:rsid w:val="4516757E"/>
    <w:rsid w:val="4535008B"/>
    <w:rsid w:val="45D76338"/>
    <w:rsid w:val="45DE1C70"/>
    <w:rsid w:val="464E44E2"/>
    <w:rsid w:val="46505585"/>
    <w:rsid w:val="46775167"/>
    <w:rsid w:val="46B6546E"/>
    <w:rsid w:val="46CD03D6"/>
    <w:rsid w:val="46E53671"/>
    <w:rsid w:val="479118A1"/>
    <w:rsid w:val="47A82838"/>
    <w:rsid w:val="47E166A8"/>
    <w:rsid w:val="47F6130A"/>
    <w:rsid w:val="48220865"/>
    <w:rsid w:val="48694A67"/>
    <w:rsid w:val="493E74E3"/>
    <w:rsid w:val="49764C39"/>
    <w:rsid w:val="49904DB2"/>
    <w:rsid w:val="49D03372"/>
    <w:rsid w:val="4A1C7E23"/>
    <w:rsid w:val="4AB63AB4"/>
    <w:rsid w:val="4AED0094"/>
    <w:rsid w:val="4B694DDF"/>
    <w:rsid w:val="4B9B714F"/>
    <w:rsid w:val="4BBE0CED"/>
    <w:rsid w:val="4C19130E"/>
    <w:rsid w:val="4C225BB0"/>
    <w:rsid w:val="4C287C17"/>
    <w:rsid w:val="4C2E6829"/>
    <w:rsid w:val="4CA41AA0"/>
    <w:rsid w:val="4CB734D8"/>
    <w:rsid w:val="4D2134B7"/>
    <w:rsid w:val="4D4D22DE"/>
    <w:rsid w:val="4D8468F9"/>
    <w:rsid w:val="4D937FF3"/>
    <w:rsid w:val="4E74112E"/>
    <w:rsid w:val="4EC07643"/>
    <w:rsid w:val="4EDB11AF"/>
    <w:rsid w:val="4F43775F"/>
    <w:rsid w:val="4F4B12E2"/>
    <w:rsid w:val="4F4E4DFC"/>
    <w:rsid w:val="4FD62013"/>
    <w:rsid w:val="503E68CE"/>
    <w:rsid w:val="508C55DE"/>
    <w:rsid w:val="50CF77D8"/>
    <w:rsid w:val="51947440"/>
    <w:rsid w:val="51C860AB"/>
    <w:rsid w:val="51D76DB7"/>
    <w:rsid w:val="51E56E21"/>
    <w:rsid w:val="52766AD3"/>
    <w:rsid w:val="53AC5B51"/>
    <w:rsid w:val="54410967"/>
    <w:rsid w:val="5461066E"/>
    <w:rsid w:val="54A31759"/>
    <w:rsid w:val="54A81435"/>
    <w:rsid w:val="56BE7242"/>
    <w:rsid w:val="570D73A7"/>
    <w:rsid w:val="578D75EE"/>
    <w:rsid w:val="57BB7D02"/>
    <w:rsid w:val="57E27E07"/>
    <w:rsid w:val="58624476"/>
    <w:rsid w:val="58766103"/>
    <w:rsid w:val="587E3D49"/>
    <w:rsid w:val="58A04EC3"/>
    <w:rsid w:val="5905498D"/>
    <w:rsid w:val="595E02CC"/>
    <w:rsid w:val="596B7699"/>
    <w:rsid w:val="59C51C23"/>
    <w:rsid w:val="5B555747"/>
    <w:rsid w:val="5B864244"/>
    <w:rsid w:val="5BB83B47"/>
    <w:rsid w:val="5BB9521B"/>
    <w:rsid w:val="5BC83DB5"/>
    <w:rsid w:val="5C063254"/>
    <w:rsid w:val="5C52012B"/>
    <w:rsid w:val="5D1C069E"/>
    <w:rsid w:val="5D315255"/>
    <w:rsid w:val="5D3B2872"/>
    <w:rsid w:val="5D811959"/>
    <w:rsid w:val="5E30506D"/>
    <w:rsid w:val="5EC26443"/>
    <w:rsid w:val="5F55359A"/>
    <w:rsid w:val="5F6E56E3"/>
    <w:rsid w:val="5F7F76AB"/>
    <w:rsid w:val="6014124B"/>
    <w:rsid w:val="60224916"/>
    <w:rsid w:val="61913423"/>
    <w:rsid w:val="61B32CB4"/>
    <w:rsid w:val="61C8368A"/>
    <w:rsid w:val="62336977"/>
    <w:rsid w:val="62404CCF"/>
    <w:rsid w:val="62495584"/>
    <w:rsid w:val="647D5FCF"/>
    <w:rsid w:val="651A4988"/>
    <w:rsid w:val="65FE3619"/>
    <w:rsid w:val="661371D7"/>
    <w:rsid w:val="66815EB7"/>
    <w:rsid w:val="66A75817"/>
    <w:rsid w:val="66F455BD"/>
    <w:rsid w:val="67027CA8"/>
    <w:rsid w:val="67104581"/>
    <w:rsid w:val="67825C57"/>
    <w:rsid w:val="68056E80"/>
    <w:rsid w:val="68AC2456"/>
    <w:rsid w:val="6900233C"/>
    <w:rsid w:val="698C7C2E"/>
    <w:rsid w:val="6B6E6AC4"/>
    <w:rsid w:val="6B85411E"/>
    <w:rsid w:val="6BC15E55"/>
    <w:rsid w:val="6BE12BDC"/>
    <w:rsid w:val="6BE31E18"/>
    <w:rsid w:val="6BEF4623"/>
    <w:rsid w:val="6C1849F0"/>
    <w:rsid w:val="6C386C13"/>
    <w:rsid w:val="6C5C77F9"/>
    <w:rsid w:val="6C624EB0"/>
    <w:rsid w:val="6CA03AE0"/>
    <w:rsid w:val="6CE42183"/>
    <w:rsid w:val="6D0D7FB4"/>
    <w:rsid w:val="6D1423C0"/>
    <w:rsid w:val="6D2A2332"/>
    <w:rsid w:val="6D494F86"/>
    <w:rsid w:val="6E4B4822"/>
    <w:rsid w:val="6EBA22AC"/>
    <w:rsid w:val="6F084EE6"/>
    <w:rsid w:val="6F177090"/>
    <w:rsid w:val="6F7A45D3"/>
    <w:rsid w:val="70015384"/>
    <w:rsid w:val="700D1AA3"/>
    <w:rsid w:val="70793998"/>
    <w:rsid w:val="70DC2666"/>
    <w:rsid w:val="712F5F64"/>
    <w:rsid w:val="718A0600"/>
    <w:rsid w:val="71C862D1"/>
    <w:rsid w:val="71DC6145"/>
    <w:rsid w:val="724001E1"/>
    <w:rsid w:val="72413E2F"/>
    <w:rsid w:val="72691DDC"/>
    <w:rsid w:val="729A08A1"/>
    <w:rsid w:val="72AB0D73"/>
    <w:rsid w:val="72AB65F5"/>
    <w:rsid w:val="731475D1"/>
    <w:rsid w:val="735445B7"/>
    <w:rsid w:val="739C3214"/>
    <w:rsid w:val="745C6E03"/>
    <w:rsid w:val="74A977F0"/>
    <w:rsid w:val="74BF3FE0"/>
    <w:rsid w:val="75F05C5E"/>
    <w:rsid w:val="76574E97"/>
    <w:rsid w:val="76A73990"/>
    <w:rsid w:val="76F758E0"/>
    <w:rsid w:val="777900C8"/>
    <w:rsid w:val="77A443EA"/>
    <w:rsid w:val="793C4636"/>
    <w:rsid w:val="7A9158C0"/>
    <w:rsid w:val="7AB05E59"/>
    <w:rsid w:val="7AC3270F"/>
    <w:rsid w:val="7B2143ED"/>
    <w:rsid w:val="7B267DA3"/>
    <w:rsid w:val="7BEC39D2"/>
    <w:rsid w:val="7CB1685F"/>
    <w:rsid w:val="7CD26CF4"/>
    <w:rsid w:val="7DDD7102"/>
    <w:rsid w:val="7DE44B84"/>
    <w:rsid w:val="7E7E3E30"/>
    <w:rsid w:val="7E9A0403"/>
    <w:rsid w:val="7EA62FFE"/>
    <w:rsid w:val="7EDC636B"/>
    <w:rsid w:val="7FD71F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eastAsia="宋体" w:asciiTheme="minorHAnsi" w:hAnsiTheme="minorHAnsi" w:cstheme="minorBidi"/>
      <w:sz w:val="21"/>
      <w:szCs w:val="22"/>
      <w:lang w:val="en-US" w:eastAsia="zh-CN" w:bidi="ar-SA"/>
    </w:rPr>
  </w:style>
  <w:style w:type="paragraph" w:styleId="4">
    <w:name w:val="heading 1"/>
    <w:basedOn w:val="1"/>
    <w:next w:val="1"/>
    <w:link w:val="50"/>
    <w:qFormat/>
    <w:uiPriority w:val="9"/>
    <w:pPr>
      <w:keepNext/>
      <w:keepLines/>
      <w:spacing w:before="240"/>
      <w:outlineLvl w:val="0"/>
    </w:pPr>
    <w:rPr>
      <w:rFonts w:asciiTheme="majorHAnsi" w:hAnsiTheme="majorHAnsi" w:eastAsiaTheme="majorEastAsia" w:cstheme="majorBidi"/>
      <w:sz w:val="32"/>
      <w:szCs w:val="32"/>
    </w:rPr>
  </w:style>
  <w:style w:type="paragraph" w:styleId="5">
    <w:name w:val="heading 2"/>
    <w:basedOn w:val="1"/>
    <w:next w:val="1"/>
    <w:link w:val="51"/>
    <w:unhideWhenUsed/>
    <w:qFormat/>
    <w:uiPriority w:val="9"/>
    <w:pPr>
      <w:keepNext/>
      <w:keepLines/>
      <w:spacing w:before="160" w:after="160" w:line="240" w:lineRule="auto"/>
      <w:ind w:left="420" w:hanging="420"/>
      <w:jc w:val="center"/>
      <w:outlineLvl w:val="1"/>
    </w:pPr>
    <w:rPr>
      <w:rFonts w:asciiTheme="majorHAnsi" w:hAnsiTheme="majorHAnsi" w:eastAsiaTheme="majorEastAsia" w:cstheme="majorBidi"/>
      <w:b/>
      <w:sz w:val="28"/>
      <w:szCs w:val="28"/>
    </w:rPr>
  </w:style>
  <w:style w:type="paragraph" w:styleId="6">
    <w:name w:val="heading 3"/>
    <w:basedOn w:val="1"/>
    <w:next w:val="1"/>
    <w:link w:val="52"/>
    <w:unhideWhenUsed/>
    <w:qFormat/>
    <w:uiPriority w:val="9"/>
    <w:pPr>
      <w:keepNext/>
      <w:keepLines/>
      <w:spacing w:before="120" w:after="120" w:line="240" w:lineRule="auto"/>
      <w:outlineLvl w:val="2"/>
    </w:pPr>
    <w:rPr>
      <w:rFonts w:asciiTheme="majorHAnsi" w:hAnsiTheme="majorHAnsi" w:eastAsiaTheme="majorEastAsia" w:cstheme="majorBidi"/>
      <w:b/>
      <w:sz w:val="24"/>
      <w:szCs w:val="24"/>
    </w:rPr>
  </w:style>
  <w:style w:type="paragraph" w:styleId="7">
    <w:name w:val="heading 4"/>
    <w:basedOn w:val="1"/>
    <w:next w:val="1"/>
    <w:link w:val="53"/>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paragraph" w:styleId="8">
    <w:name w:val="heading 5"/>
    <w:basedOn w:val="1"/>
    <w:next w:val="1"/>
    <w:link w:val="54"/>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paragraph" w:styleId="9">
    <w:name w:val="heading 6"/>
    <w:basedOn w:val="1"/>
    <w:next w:val="1"/>
    <w:link w:val="55"/>
    <w:semiHidden/>
    <w:unhideWhenUsed/>
    <w:qFormat/>
    <w:uiPriority w:val="9"/>
    <w:pPr>
      <w:keepNext/>
      <w:keepLines/>
      <w:spacing w:before="40"/>
      <w:outlineLvl w:val="5"/>
    </w:pPr>
    <w:rPr>
      <w:rFonts w:asciiTheme="majorHAnsi" w:hAnsiTheme="majorHAnsi" w:eastAsiaTheme="majorEastAsia" w:cstheme="majorBidi"/>
      <w:color w:val="254061" w:themeColor="accent1" w:themeShade="80"/>
    </w:rPr>
  </w:style>
  <w:style w:type="paragraph" w:styleId="10">
    <w:name w:val="heading 7"/>
    <w:basedOn w:val="1"/>
    <w:next w:val="1"/>
    <w:link w:val="56"/>
    <w:semiHidden/>
    <w:unhideWhenUsed/>
    <w:qFormat/>
    <w:uiPriority w:val="9"/>
    <w:pPr>
      <w:keepNext/>
      <w:keepLines/>
      <w:spacing w:before="40"/>
      <w:outlineLvl w:val="6"/>
    </w:pPr>
    <w:rPr>
      <w:rFonts w:asciiTheme="majorHAnsi" w:hAnsiTheme="majorHAnsi" w:eastAsiaTheme="majorEastAsia" w:cstheme="majorBidi"/>
      <w:i/>
      <w:iCs/>
      <w:color w:val="254061" w:themeColor="accent1" w:themeShade="80"/>
    </w:rPr>
  </w:style>
  <w:style w:type="paragraph" w:styleId="11">
    <w:name w:val="heading 8"/>
    <w:basedOn w:val="1"/>
    <w:next w:val="1"/>
    <w:link w:val="57"/>
    <w:semiHidden/>
    <w:unhideWhenUsed/>
    <w:qFormat/>
    <w:uiPriority w:val="9"/>
    <w:pPr>
      <w:keepNext/>
      <w:keepLines/>
      <w:spacing w:before="4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2">
    <w:name w:val="heading 9"/>
    <w:basedOn w:val="1"/>
    <w:next w:val="1"/>
    <w:link w:val="58"/>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pPr>
  </w:style>
  <w:style w:type="paragraph" w:styleId="3">
    <w:name w:val="Body Text Indent"/>
    <w:basedOn w:val="1"/>
    <w:next w:val="1"/>
    <w:unhideWhenUsed/>
    <w:qFormat/>
    <w:uiPriority w:val="99"/>
    <w:pPr>
      <w:spacing w:after="120"/>
      <w:ind w:left="420" w:leftChars="200"/>
    </w:pPr>
  </w:style>
  <w:style w:type="paragraph" w:styleId="13">
    <w:name w:val="toc 7"/>
    <w:basedOn w:val="1"/>
    <w:next w:val="1"/>
    <w:qFormat/>
    <w:uiPriority w:val="39"/>
    <w:pPr>
      <w:ind w:left="1200" w:leftChars="1200"/>
    </w:pPr>
  </w:style>
  <w:style w:type="paragraph" w:styleId="14">
    <w:name w:val="Normal Indent"/>
    <w:basedOn w:val="1"/>
    <w:qFormat/>
    <w:uiPriority w:val="0"/>
    <w:pPr>
      <w:ind w:firstLine="420"/>
    </w:pPr>
  </w:style>
  <w:style w:type="paragraph" w:styleId="15">
    <w:name w:val="caption"/>
    <w:basedOn w:val="1"/>
    <w:next w:val="1"/>
    <w:semiHidden/>
    <w:unhideWhenUsed/>
    <w:qFormat/>
    <w:uiPriority w:val="35"/>
    <w:pPr>
      <w:spacing w:after="200" w:line="240" w:lineRule="auto"/>
    </w:pPr>
    <w:rPr>
      <w:i/>
      <w:iCs/>
      <w:color w:val="1F497D" w:themeColor="text2"/>
      <w:sz w:val="18"/>
      <w:szCs w:val="18"/>
      <w14:textFill>
        <w14:solidFill>
          <w14:schemeClr w14:val="tx2"/>
        </w14:solidFill>
      </w14:textFill>
    </w:rPr>
  </w:style>
  <w:style w:type="paragraph" w:styleId="16">
    <w:name w:val="Document Map"/>
    <w:basedOn w:val="1"/>
    <w:qFormat/>
    <w:uiPriority w:val="0"/>
    <w:rPr>
      <w:rFonts w:ascii="宋体" w:cs="宋体"/>
      <w:sz w:val="18"/>
      <w:szCs w:val="18"/>
    </w:rPr>
  </w:style>
  <w:style w:type="paragraph" w:styleId="17">
    <w:name w:val="annotation text"/>
    <w:basedOn w:val="1"/>
    <w:link w:val="62"/>
    <w:qFormat/>
    <w:uiPriority w:val="0"/>
    <w:rPr>
      <w:rFonts w:ascii="Times New Roman" w:hAnsi="Times New Roman"/>
      <w:szCs w:val="20"/>
    </w:rPr>
  </w:style>
  <w:style w:type="paragraph" w:styleId="18">
    <w:name w:val="Body Text 3"/>
    <w:basedOn w:val="1"/>
    <w:link w:val="64"/>
    <w:qFormat/>
    <w:uiPriority w:val="0"/>
    <w:rPr>
      <w:rFonts w:ascii="宋体"/>
      <w:sz w:val="24"/>
      <w:szCs w:val="20"/>
    </w:rPr>
  </w:style>
  <w:style w:type="paragraph" w:styleId="19">
    <w:name w:val="Body Text"/>
    <w:basedOn w:val="1"/>
    <w:next w:val="1"/>
    <w:link w:val="70"/>
    <w:unhideWhenUsed/>
    <w:qFormat/>
    <w:uiPriority w:val="0"/>
    <w:pPr>
      <w:spacing w:after="120"/>
    </w:pPr>
  </w:style>
  <w:style w:type="paragraph" w:styleId="20">
    <w:name w:val="toc 5"/>
    <w:basedOn w:val="1"/>
    <w:next w:val="1"/>
    <w:qFormat/>
    <w:uiPriority w:val="39"/>
    <w:pPr>
      <w:ind w:left="800" w:leftChars="800"/>
    </w:pPr>
  </w:style>
  <w:style w:type="paragraph" w:styleId="21">
    <w:name w:val="toc 3"/>
    <w:basedOn w:val="1"/>
    <w:next w:val="1"/>
    <w:qFormat/>
    <w:uiPriority w:val="39"/>
    <w:pPr>
      <w:ind w:left="400" w:leftChars="400"/>
    </w:pPr>
  </w:style>
  <w:style w:type="paragraph" w:styleId="22">
    <w:name w:val="Plain Text"/>
    <w:basedOn w:val="1"/>
    <w:link w:val="65"/>
    <w:qFormat/>
    <w:uiPriority w:val="0"/>
    <w:rPr>
      <w:rFonts w:ascii="宋体"/>
    </w:rPr>
  </w:style>
  <w:style w:type="paragraph" w:styleId="23">
    <w:name w:val="toc 8"/>
    <w:basedOn w:val="1"/>
    <w:next w:val="1"/>
    <w:qFormat/>
    <w:uiPriority w:val="39"/>
    <w:pPr>
      <w:ind w:left="1400" w:leftChars="1400"/>
    </w:pPr>
  </w:style>
  <w:style w:type="paragraph" w:styleId="24">
    <w:name w:val="Date"/>
    <w:basedOn w:val="1"/>
    <w:next w:val="1"/>
    <w:qFormat/>
    <w:uiPriority w:val="0"/>
    <w:pPr>
      <w:ind w:left="2500" w:leftChars="2500"/>
    </w:pPr>
    <w:rPr>
      <w:rFonts w:ascii="Times New Roman" w:hAnsi="Times New Roman"/>
      <w:szCs w:val="20"/>
    </w:rPr>
  </w:style>
  <w:style w:type="paragraph" w:styleId="25">
    <w:name w:val="Balloon Text"/>
    <w:basedOn w:val="1"/>
    <w:qFormat/>
    <w:uiPriority w:val="0"/>
    <w:rPr>
      <w:rFonts w:ascii="Times New Roman" w:hAnsi="Times New Roman"/>
      <w:sz w:val="18"/>
      <w:szCs w:val="20"/>
    </w:rPr>
  </w:style>
  <w:style w:type="paragraph" w:styleId="26">
    <w:name w:val="footer"/>
    <w:basedOn w:val="1"/>
    <w:link w:val="63"/>
    <w:qFormat/>
    <w:uiPriority w:val="99"/>
    <w:pPr>
      <w:tabs>
        <w:tab w:val="center" w:pos="4153"/>
        <w:tab w:val="right" w:pos="8306"/>
      </w:tabs>
      <w:snapToGrid w:val="0"/>
    </w:pPr>
    <w:rPr>
      <w:sz w:val="18"/>
    </w:rPr>
  </w:style>
  <w:style w:type="paragraph" w:styleId="27">
    <w:name w:val="header"/>
    <w:basedOn w:val="1"/>
    <w:qFormat/>
    <w:uiPriority w:val="0"/>
    <w:pPr>
      <w:tabs>
        <w:tab w:val="center" w:pos="4153"/>
        <w:tab w:val="right" w:pos="8306"/>
      </w:tabs>
      <w:snapToGrid w:val="0"/>
    </w:pPr>
    <w:rPr>
      <w:rFonts w:ascii="Times New Roman" w:hAnsi="Times New Roman"/>
      <w:sz w:val="18"/>
      <w:szCs w:val="20"/>
    </w:rPr>
  </w:style>
  <w:style w:type="paragraph" w:styleId="28">
    <w:name w:val="toc 1"/>
    <w:basedOn w:val="1"/>
    <w:next w:val="1"/>
    <w:qFormat/>
    <w:uiPriority w:val="39"/>
  </w:style>
  <w:style w:type="paragraph" w:styleId="29">
    <w:name w:val="toc 4"/>
    <w:basedOn w:val="1"/>
    <w:next w:val="1"/>
    <w:qFormat/>
    <w:uiPriority w:val="39"/>
    <w:pPr>
      <w:ind w:left="600" w:leftChars="600"/>
    </w:pPr>
  </w:style>
  <w:style w:type="paragraph" w:styleId="30">
    <w:name w:val="Subtitle"/>
    <w:basedOn w:val="1"/>
    <w:next w:val="1"/>
    <w:link w:val="76"/>
    <w:qFormat/>
    <w:uiPriority w:val="11"/>
    <w:rPr>
      <w:color w:val="595959" w:themeColor="text1" w:themeTint="A6"/>
      <w:spacing w:val="15"/>
      <w14:textFill>
        <w14:solidFill>
          <w14:schemeClr w14:val="tx1">
            <w14:lumMod w14:val="65000"/>
            <w14:lumOff w14:val="35000"/>
          </w14:schemeClr>
        </w14:solidFill>
      </w14:textFill>
    </w:rPr>
  </w:style>
  <w:style w:type="paragraph" w:styleId="31">
    <w:name w:val="toc 6"/>
    <w:basedOn w:val="1"/>
    <w:next w:val="1"/>
    <w:qFormat/>
    <w:uiPriority w:val="39"/>
    <w:pPr>
      <w:ind w:left="1000" w:leftChars="1000"/>
    </w:pPr>
  </w:style>
  <w:style w:type="paragraph" w:styleId="32">
    <w:name w:val="Body Text Indent 3"/>
    <w:basedOn w:val="1"/>
    <w:qFormat/>
    <w:uiPriority w:val="0"/>
    <w:pPr>
      <w:spacing w:after="120"/>
      <w:ind w:left="200" w:leftChars="200"/>
    </w:pPr>
    <w:rPr>
      <w:sz w:val="16"/>
      <w:szCs w:val="16"/>
    </w:rPr>
  </w:style>
  <w:style w:type="paragraph" w:styleId="33">
    <w:name w:val="toc 2"/>
    <w:basedOn w:val="1"/>
    <w:next w:val="1"/>
    <w:qFormat/>
    <w:uiPriority w:val="39"/>
    <w:pPr>
      <w:ind w:left="200" w:leftChars="200"/>
    </w:pPr>
  </w:style>
  <w:style w:type="paragraph" w:styleId="34">
    <w:name w:val="toc 9"/>
    <w:basedOn w:val="1"/>
    <w:next w:val="1"/>
    <w:qFormat/>
    <w:uiPriority w:val="39"/>
    <w:pPr>
      <w:ind w:left="1600" w:leftChars="1600"/>
    </w:pPr>
  </w:style>
  <w:style w:type="paragraph" w:styleId="35">
    <w:name w:val="Title"/>
    <w:basedOn w:val="1"/>
    <w:next w:val="1"/>
    <w:link w:val="75"/>
    <w:qFormat/>
    <w:uiPriority w:val="10"/>
    <w:pPr>
      <w:spacing w:line="240" w:lineRule="auto"/>
      <w:contextualSpacing/>
    </w:pPr>
    <w:rPr>
      <w:rFonts w:asciiTheme="majorHAnsi" w:hAnsiTheme="majorHAnsi" w:eastAsiaTheme="majorEastAsia" w:cstheme="majorBidi"/>
      <w:spacing w:val="-10"/>
      <w:sz w:val="56"/>
      <w:szCs w:val="56"/>
    </w:rPr>
  </w:style>
  <w:style w:type="paragraph" w:styleId="36">
    <w:name w:val="annotation subject"/>
    <w:basedOn w:val="17"/>
    <w:next w:val="17"/>
    <w:qFormat/>
    <w:uiPriority w:val="0"/>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b/>
      <w:bCs/>
      <w:color w:val="auto"/>
    </w:rPr>
  </w:style>
  <w:style w:type="character" w:styleId="41">
    <w:name w:val="page number"/>
    <w:basedOn w:val="39"/>
    <w:qFormat/>
    <w:uiPriority w:val="0"/>
  </w:style>
  <w:style w:type="character" w:styleId="42">
    <w:name w:val="FollowedHyperlink"/>
    <w:basedOn w:val="39"/>
    <w:semiHidden/>
    <w:unhideWhenUsed/>
    <w:qFormat/>
    <w:uiPriority w:val="0"/>
    <w:rPr>
      <w:color w:val="2490F8"/>
      <w:u w:val="none"/>
    </w:rPr>
  </w:style>
  <w:style w:type="character" w:styleId="43">
    <w:name w:val="Emphasis"/>
    <w:basedOn w:val="39"/>
    <w:qFormat/>
    <w:uiPriority w:val="20"/>
    <w:rPr>
      <w:i/>
      <w:iCs/>
      <w:color w:val="auto"/>
    </w:rPr>
  </w:style>
  <w:style w:type="character" w:styleId="44">
    <w:name w:val="HTML Definition"/>
    <w:basedOn w:val="39"/>
    <w:semiHidden/>
    <w:unhideWhenUsed/>
    <w:qFormat/>
    <w:uiPriority w:val="0"/>
  </w:style>
  <w:style w:type="character" w:styleId="45">
    <w:name w:val="HTML Variable"/>
    <w:basedOn w:val="39"/>
    <w:semiHidden/>
    <w:unhideWhenUsed/>
    <w:qFormat/>
    <w:uiPriority w:val="0"/>
  </w:style>
  <w:style w:type="character" w:styleId="46">
    <w:name w:val="Hyperlink"/>
    <w:qFormat/>
    <w:uiPriority w:val="99"/>
    <w:rPr>
      <w:color w:val="0000FF"/>
      <w:u w:val="single"/>
    </w:rPr>
  </w:style>
  <w:style w:type="character" w:styleId="47">
    <w:name w:val="HTML Code"/>
    <w:basedOn w:val="39"/>
    <w:semiHidden/>
    <w:unhideWhenUsed/>
    <w:qFormat/>
    <w:uiPriority w:val="0"/>
    <w:rPr>
      <w:rFonts w:ascii="Courier New" w:hAnsi="Courier New"/>
      <w:sz w:val="20"/>
    </w:rPr>
  </w:style>
  <w:style w:type="character" w:styleId="48">
    <w:name w:val="annotation reference"/>
    <w:qFormat/>
    <w:uiPriority w:val="0"/>
    <w:rPr>
      <w:sz w:val="21"/>
    </w:rPr>
  </w:style>
  <w:style w:type="character" w:styleId="49">
    <w:name w:val="HTML Cite"/>
    <w:basedOn w:val="39"/>
    <w:semiHidden/>
    <w:unhideWhenUsed/>
    <w:qFormat/>
    <w:uiPriority w:val="0"/>
  </w:style>
  <w:style w:type="character" w:customStyle="1" w:styleId="50">
    <w:name w:val="标题 1 字符"/>
    <w:basedOn w:val="39"/>
    <w:link w:val="4"/>
    <w:qFormat/>
    <w:uiPriority w:val="9"/>
    <w:rPr>
      <w:rFonts w:asciiTheme="majorHAnsi" w:hAnsiTheme="majorHAnsi" w:eastAsiaTheme="majorEastAsia" w:cstheme="majorBidi"/>
      <w:sz w:val="32"/>
      <w:szCs w:val="32"/>
    </w:rPr>
  </w:style>
  <w:style w:type="character" w:customStyle="1" w:styleId="51">
    <w:name w:val="标题 2 字符"/>
    <w:basedOn w:val="39"/>
    <w:link w:val="5"/>
    <w:qFormat/>
    <w:uiPriority w:val="9"/>
    <w:rPr>
      <w:rFonts w:asciiTheme="majorHAnsi" w:hAnsiTheme="majorHAnsi" w:eastAsiaTheme="majorEastAsia" w:cstheme="majorBidi"/>
      <w:b/>
      <w:sz w:val="28"/>
      <w:szCs w:val="28"/>
    </w:rPr>
  </w:style>
  <w:style w:type="character" w:customStyle="1" w:styleId="52">
    <w:name w:val="标题 3 字符"/>
    <w:basedOn w:val="39"/>
    <w:link w:val="6"/>
    <w:qFormat/>
    <w:uiPriority w:val="9"/>
    <w:rPr>
      <w:rFonts w:asciiTheme="majorHAnsi" w:hAnsiTheme="majorHAnsi" w:eastAsiaTheme="majorEastAsia" w:cstheme="majorBidi"/>
      <w:b/>
      <w:sz w:val="24"/>
      <w:szCs w:val="24"/>
    </w:rPr>
  </w:style>
  <w:style w:type="character" w:customStyle="1" w:styleId="53">
    <w:name w:val="标题 4 字符"/>
    <w:basedOn w:val="39"/>
    <w:link w:val="7"/>
    <w:semiHidden/>
    <w:qFormat/>
    <w:uiPriority w:val="9"/>
    <w:rPr>
      <w:rFonts w:asciiTheme="majorHAnsi" w:hAnsiTheme="majorHAnsi" w:eastAsiaTheme="majorEastAsia" w:cstheme="majorBidi"/>
      <w:i/>
      <w:iCs/>
      <w:color w:val="376092" w:themeColor="accent1" w:themeShade="BF"/>
    </w:rPr>
  </w:style>
  <w:style w:type="character" w:customStyle="1" w:styleId="54">
    <w:name w:val="标题 5 字符"/>
    <w:basedOn w:val="39"/>
    <w:link w:val="8"/>
    <w:semiHidden/>
    <w:qFormat/>
    <w:uiPriority w:val="9"/>
    <w:rPr>
      <w:rFonts w:asciiTheme="majorHAnsi" w:hAnsiTheme="majorHAnsi" w:eastAsiaTheme="majorEastAsia" w:cstheme="majorBidi"/>
      <w:color w:val="376092" w:themeColor="accent1" w:themeShade="BF"/>
    </w:rPr>
  </w:style>
  <w:style w:type="character" w:customStyle="1" w:styleId="55">
    <w:name w:val="标题 6 字符"/>
    <w:basedOn w:val="39"/>
    <w:link w:val="9"/>
    <w:semiHidden/>
    <w:qFormat/>
    <w:uiPriority w:val="9"/>
    <w:rPr>
      <w:rFonts w:asciiTheme="majorHAnsi" w:hAnsiTheme="majorHAnsi" w:eastAsiaTheme="majorEastAsia" w:cstheme="majorBidi"/>
      <w:color w:val="254061" w:themeColor="accent1" w:themeShade="80"/>
    </w:rPr>
  </w:style>
  <w:style w:type="character" w:customStyle="1" w:styleId="56">
    <w:name w:val="标题 7 字符"/>
    <w:basedOn w:val="39"/>
    <w:link w:val="10"/>
    <w:semiHidden/>
    <w:qFormat/>
    <w:uiPriority w:val="9"/>
    <w:rPr>
      <w:rFonts w:asciiTheme="majorHAnsi" w:hAnsiTheme="majorHAnsi" w:eastAsiaTheme="majorEastAsia" w:cstheme="majorBidi"/>
      <w:i/>
      <w:iCs/>
      <w:color w:val="254061" w:themeColor="accent1" w:themeShade="80"/>
    </w:rPr>
  </w:style>
  <w:style w:type="character" w:customStyle="1" w:styleId="57">
    <w:name w:val="标题 8 字符"/>
    <w:basedOn w:val="39"/>
    <w:link w:val="11"/>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58">
    <w:name w:val="标题 9 字符"/>
    <w:basedOn w:val="39"/>
    <w:link w:val="12"/>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59">
    <w:name w:val="style_kwd"/>
    <w:basedOn w:val="39"/>
    <w:qFormat/>
    <w:uiPriority w:val="0"/>
  </w:style>
  <w:style w:type="character" w:customStyle="1" w:styleId="60">
    <w:name w:val="批注文字 Char1"/>
    <w:qFormat/>
    <w:uiPriority w:val="0"/>
    <w:rPr>
      <w:rFonts w:ascii="Times New Roman" w:hAnsi="Times New Roman" w:eastAsia="宋体" w:cs="Times New Roman"/>
      <w:sz w:val="20"/>
      <w:szCs w:val="20"/>
      <w:lang w:bidi="ar-SA"/>
    </w:rPr>
  </w:style>
  <w:style w:type="character" w:customStyle="1" w:styleId="61">
    <w:name w:val="Comment Text Char"/>
    <w:qFormat/>
    <w:uiPriority w:val="0"/>
  </w:style>
  <w:style w:type="character" w:customStyle="1" w:styleId="62">
    <w:name w:val="批注文字 字符"/>
    <w:basedOn w:val="39"/>
    <w:link w:val="17"/>
    <w:qFormat/>
    <w:uiPriority w:val="0"/>
    <w:rPr>
      <w:rFonts w:eastAsia="宋体"/>
      <w:kern w:val="2"/>
      <w:sz w:val="21"/>
    </w:rPr>
  </w:style>
  <w:style w:type="character" w:customStyle="1" w:styleId="63">
    <w:name w:val="页脚 字符"/>
    <w:basedOn w:val="39"/>
    <w:link w:val="26"/>
    <w:qFormat/>
    <w:uiPriority w:val="99"/>
    <w:rPr>
      <w:rFonts w:eastAsia="宋体"/>
      <w:sz w:val="18"/>
    </w:rPr>
  </w:style>
  <w:style w:type="character" w:customStyle="1" w:styleId="64">
    <w:name w:val="正文文本 3 字符"/>
    <w:basedOn w:val="39"/>
    <w:link w:val="18"/>
    <w:qFormat/>
    <w:uiPriority w:val="0"/>
    <w:rPr>
      <w:rFonts w:ascii="宋体" w:hAnsi="Calibri" w:eastAsia="宋体"/>
      <w:kern w:val="2"/>
      <w:sz w:val="24"/>
    </w:rPr>
  </w:style>
  <w:style w:type="character" w:customStyle="1" w:styleId="65">
    <w:name w:val="纯文本 字符"/>
    <w:link w:val="22"/>
    <w:qFormat/>
    <w:uiPriority w:val="0"/>
    <w:rPr>
      <w:rFonts w:ascii="宋体" w:hAnsi="Calibri" w:eastAsia="宋体"/>
      <w:kern w:val="2"/>
      <w:sz w:val="21"/>
      <w:szCs w:val="22"/>
    </w:rPr>
  </w:style>
  <w:style w:type="paragraph" w:customStyle="1" w:styleId="66">
    <w:name w:val="修订1"/>
    <w:qFormat/>
    <w:uiPriority w:val="0"/>
    <w:pPr>
      <w:spacing w:after="160" w:line="259" w:lineRule="auto"/>
    </w:pPr>
    <w:rPr>
      <w:rFonts w:eastAsia="宋体" w:asciiTheme="minorHAnsi" w:hAnsiTheme="minorHAnsi" w:cstheme="minorBidi"/>
      <w:kern w:val="2"/>
      <w:sz w:val="21"/>
      <w:szCs w:val="22"/>
      <w:lang w:val="en-US" w:eastAsia="zh-CN" w:bidi="ar-SA"/>
    </w:rPr>
  </w:style>
  <w:style w:type="paragraph" w:customStyle="1" w:styleId="67">
    <w:name w:val="_Style 23"/>
    <w:basedOn w:val="1"/>
    <w:qFormat/>
    <w:uiPriority w:val="0"/>
    <w:pPr>
      <w:spacing w:line="240" w:lineRule="exact"/>
    </w:pPr>
  </w:style>
  <w:style w:type="paragraph" w:customStyle="1" w:styleId="68">
    <w:name w:val="TOC 标题1"/>
    <w:basedOn w:val="4"/>
    <w:next w:val="1"/>
    <w:unhideWhenUsed/>
    <w:qFormat/>
    <w:uiPriority w:val="39"/>
    <w:pPr>
      <w:outlineLvl w:val="9"/>
    </w:pPr>
  </w:style>
  <w:style w:type="character" w:customStyle="1" w:styleId="69">
    <w:name w:val="font161"/>
    <w:qFormat/>
    <w:uiPriority w:val="0"/>
    <w:rPr>
      <w:b/>
      <w:bCs/>
      <w:sz w:val="32"/>
      <w:szCs w:val="32"/>
    </w:rPr>
  </w:style>
  <w:style w:type="character" w:customStyle="1" w:styleId="70">
    <w:name w:val="正文文本 字符"/>
    <w:basedOn w:val="39"/>
    <w:link w:val="19"/>
    <w:qFormat/>
    <w:uiPriority w:val="0"/>
    <w:rPr>
      <w:rFonts w:ascii="Calibri" w:hAnsi="Calibri" w:eastAsia="宋体"/>
      <w:kern w:val="2"/>
      <w:sz w:val="21"/>
      <w:szCs w:val="22"/>
    </w:rPr>
  </w:style>
  <w:style w:type="table" w:customStyle="1" w:styleId="71">
    <w:name w:val="Table Normal"/>
    <w:semiHidden/>
    <w:unhideWhenUsed/>
    <w:qFormat/>
    <w:uiPriority w:val="2"/>
    <w:pPr>
      <w:widowControl w:val="0"/>
      <w:autoSpaceDE w:val="0"/>
      <w:autoSpaceDN w:val="0"/>
    </w:pPr>
    <w:rPr>
      <w:lang w:eastAsia="en-US"/>
    </w:rPr>
    <w:tblPr>
      <w:tblCellMar>
        <w:top w:w="0" w:type="dxa"/>
        <w:left w:w="0" w:type="dxa"/>
        <w:bottom w:w="0" w:type="dxa"/>
        <w:right w:w="0" w:type="dxa"/>
      </w:tblCellMar>
    </w:tblPr>
  </w:style>
  <w:style w:type="paragraph" w:customStyle="1" w:styleId="72">
    <w:name w:val="标题 31"/>
    <w:basedOn w:val="1"/>
    <w:qFormat/>
    <w:uiPriority w:val="1"/>
    <w:pPr>
      <w:autoSpaceDE w:val="0"/>
      <w:autoSpaceDN w:val="0"/>
      <w:spacing w:beforeLines="100" w:afterLines="100"/>
      <w:ind w:left="726" w:hanging="488"/>
      <w:outlineLvl w:val="3"/>
    </w:pPr>
    <w:rPr>
      <w:rFonts w:ascii="宋体" w:hAnsi="宋体" w:cs="宋体"/>
      <w:sz w:val="28"/>
      <w:szCs w:val="28"/>
      <w:lang w:eastAsia="en-US"/>
    </w:rPr>
  </w:style>
  <w:style w:type="paragraph" w:customStyle="1" w:styleId="73">
    <w:name w:val="Table Paragraph"/>
    <w:basedOn w:val="1"/>
    <w:qFormat/>
    <w:uiPriority w:val="1"/>
    <w:pPr>
      <w:autoSpaceDE w:val="0"/>
      <w:autoSpaceDN w:val="0"/>
    </w:pPr>
    <w:rPr>
      <w:rFonts w:ascii="宋体" w:hAnsi="宋体" w:cs="宋体"/>
      <w:lang w:eastAsia="en-US"/>
    </w:rPr>
  </w:style>
  <w:style w:type="paragraph" w:customStyle="1" w:styleId="74">
    <w:name w:val="6'"/>
    <w:basedOn w:val="1"/>
    <w:qFormat/>
    <w:uiPriority w:val="0"/>
    <w:pPr>
      <w:autoSpaceDE w:val="0"/>
      <w:autoSpaceDN w:val="0"/>
      <w:adjustRightInd w:val="0"/>
      <w:snapToGrid w:val="0"/>
      <w:spacing w:line="320" w:lineRule="exact"/>
      <w:ind w:left="420" w:firstLine="420"/>
      <w:jc w:val="center"/>
      <w:textAlignment w:val="baseline"/>
    </w:pPr>
    <w:rPr>
      <w:rFonts w:ascii="Times New Roman" w:hAnsi="Times New Roman"/>
      <w:spacing w:val="20"/>
      <w:kern w:val="28"/>
      <w:szCs w:val="20"/>
    </w:rPr>
  </w:style>
  <w:style w:type="character" w:customStyle="1" w:styleId="75">
    <w:name w:val="标题 字符"/>
    <w:basedOn w:val="39"/>
    <w:link w:val="35"/>
    <w:qFormat/>
    <w:uiPriority w:val="10"/>
    <w:rPr>
      <w:rFonts w:asciiTheme="majorHAnsi" w:hAnsiTheme="majorHAnsi" w:eastAsiaTheme="majorEastAsia" w:cstheme="majorBidi"/>
      <w:spacing w:val="-10"/>
      <w:sz w:val="56"/>
      <w:szCs w:val="56"/>
    </w:rPr>
  </w:style>
  <w:style w:type="character" w:customStyle="1" w:styleId="76">
    <w:name w:val="副标题 字符"/>
    <w:basedOn w:val="39"/>
    <w:link w:val="30"/>
    <w:qFormat/>
    <w:uiPriority w:val="11"/>
    <w:rPr>
      <w:color w:val="595959" w:themeColor="text1" w:themeTint="A6"/>
      <w:spacing w:val="15"/>
      <w14:textFill>
        <w14:solidFill>
          <w14:schemeClr w14:val="tx1">
            <w14:lumMod w14:val="65000"/>
            <w14:lumOff w14:val="35000"/>
          </w14:schemeClr>
        </w14:solidFill>
      </w14:textFill>
    </w:rPr>
  </w:style>
  <w:style w:type="paragraph" w:styleId="77">
    <w:name w:val="No Spacing"/>
    <w:qFormat/>
    <w:uiPriority w:val="1"/>
    <w:rPr>
      <w:rFonts w:asciiTheme="minorHAnsi" w:hAnsiTheme="minorHAnsi" w:eastAsiaTheme="minorEastAsia" w:cstheme="minorBidi"/>
      <w:sz w:val="22"/>
      <w:szCs w:val="22"/>
      <w:lang w:val="en-US" w:eastAsia="zh-CN" w:bidi="ar-SA"/>
    </w:rPr>
  </w:style>
  <w:style w:type="paragraph" w:styleId="78">
    <w:name w:val="Quote"/>
    <w:basedOn w:val="1"/>
    <w:next w:val="1"/>
    <w:link w:val="79"/>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79">
    <w:name w:val="引用 字符"/>
    <w:basedOn w:val="39"/>
    <w:link w:val="78"/>
    <w:qFormat/>
    <w:uiPriority w:val="29"/>
    <w:rPr>
      <w:i/>
      <w:iCs/>
      <w:color w:val="404040" w:themeColor="text1" w:themeTint="BF"/>
      <w14:textFill>
        <w14:solidFill>
          <w14:schemeClr w14:val="tx1">
            <w14:lumMod w14:val="75000"/>
            <w14:lumOff w14:val="25000"/>
          </w14:schemeClr>
        </w14:solidFill>
      </w14:textFill>
    </w:rPr>
  </w:style>
  <w:style w:type="paragraph" w:styleId="80">
    <w:name w:val="Intense Quote"/>
    <w:basedOn w:val="1"/>
    <w:next w:val="1"/>
    <w:link w:val="81"/>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81">
    <w:name w:val="明显引用 字符"/>
    <w:basedOn w:val="39"/>
    <w:link w:val="80"/>
    <w:qFormat/>
    <w:uiPriority w:val="30"/>
    <w:rPr>
      <w:i/>
      <w:iCs/>
      <w:color w:val="4F81BD" w:themeColor="accent1"/>
      <w14:textFill>
        <w14:solidFill>
          <w14:schemeClr w14:val="accent1"/>
        </w14:solidFill>
      </w14:textFill>
    </w:rPr>
  </w:style>
  <w:style w:type="character" w:customStyle="1" w:styleId="82">
    <w:name w:val="不明显强调1"/>
    <w:basedOn w:val="39"/>
    <w:qFormat/>
    <w:uiPriority w:val="19"/>
    <w:rPr>
      <w:i/>
      <w:iCs/>
      <w:color w:val="404040" w:themeColor="text1" w:themeTint="BF"/>
      <w14:textFill>
        <w14:solidFill>
          <w14:schemeClr w14:val="tx1">
            <w14:lumMod w14:val="75000"/>
            <w14:lumOff w14:val="25000"/>
          </w14:schemeClr>
        </w14:solidFill>
      </w14:textFill>
    </w:rPr>
  </w:style>
  <w:style w:type="character" w:customStyle="1" w:styleId="83">
    <w:name w:val="明显强调1"/>
    <w:basedOn w:val="39"/>
    <w:qFormat/>
    <w:uiPriority w:val="21"/>
    <w:rPr>
      <w:i/>
      <w:iCs/>
      <w:color w:val="4F81BD" w:themeColor="accent1"/>
      <w14:textFill>
        <w14:solidFill>
          <w14:schemeClr w14:val="accent1"/>
        </w14:solidFill>
      </w14:textFill>
    </w:rPr>
  </w:style>
  <w:style w:type="character" w:customStyle="1" w:styleId="84">
    <w:name w:val="不明显参考1"/>
    <w:basedOn w:val="39"/>
    <w:qFormat/>
    <w:uiPriority w:val="31"/>
    <w:rPr>
      <w:smallCaps/>
      <w:color w:val="404040" w:themeColor="text1" w:themeTint="BF"/>
      <w14:textFill>
        <w14:solidFill>
          <w14:schemeClr w14:val="tx1">
            <w14:lumMod w14:val="75000"/>
            <w14:lumOff w14:val="25000"/>
          </w14:schemeClr>
        </w14:solidFill>
      </w14:textFill>
    </w:rPr>
  </w:style>
  <w:style w:type="character" w:customStyle="1" w:styleId="85">
    <w:name w:val="明显参考1"/>
    <w:basedOn w:val="39"/>
    <w:qFormat/>
    <w:uiPriority w:val="32"/>
    <w:rPr>
      <w:b/>
      <w:bCs/>
      <w:smallCaps/>
      <w:color w:val="4F81BD" w:themeColor="accent1"/>
      <w:spacing w:val="5"/>
      <w14:textFill>
        <w14:solidFill>
          <w14:schemeClr w14:val="accent1"/>
        </w14:solidFill>
      </w14:textFill>
    </w:rPr>
  </w:style>
  <w:style w:type="character" w:customStyle="1" w:styleId="86">
    <w:name w:val="书籍标题1"/>
    <w:basedOn w:val="39"/>
    <w:qFormat/>
    <w:uiPriority w:val="33"/>
    <w:rPr>
      <w:b/>
      <w:bCs/>
      <w:i/>
      <w:iCs/>
      <w:spacing w:val="5"/>
    </w:rPr>
  </w:style>
  <w:style w:type="paragraph" w:styleId="87">
    <w:name w:val="List Paragraph"/>
    <w:basedOn w:val="1"/>
    <w:link w:val="94"/>
    <w:qFormat/>
    <w:uiPriority w:val="34"/>
    <w:pPr>
      <w:ind w:firstLine="420" w:firstLineChars="200"/>
    </w:pPr>
  </w:style>
  <w:style w:type="paragraph" w:customStyle="1" w:styleId="88">
    <w:name w:val="Default"/>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paragraph" w:customStyle="1" w:styleId="89">
    <w:name w:val="标题 32"/>
    <w:basedOn w:val="1"/>
    <w:qFormat/>
    <w:uiPriority w:val="1"/>
    <w:pPr>
      <w:widowControl w:val="0"/>
      <w:autoSpaceDE w:val="0"/>
      <w:autoSpaceDN w:val="0"/>
      <w:spacing w:line="240" w:lineRule="auto"/>
      <w:ind w:left="726" w:hanging="489"/>
      <w:outlineLvl w:val="3"/>
    </w:pPr>
    <w:rPr>
      <w:rFonts w:ascii="宋体" w:hAnsi="宋体" w:cs="宋体"/>
      <w:sz w:val="28"/>
      <w:szCs w:val="28"/>
      <w:lang w:eastAsia="en-US"/>
    </w:rPr>
  </w:style>
  <w:style w:type="paragraph" w:customStyle="1" w:styleId="90">
    <w:name w:val="标题 21"/>
    <w:basedOn w:val="1"/>
    <w:qFormat/>
    <w:uiPriority w:val="1"/>
    <w:pPr>
      <w:widowControl w:val="0"/>
      <w:autoSpaceDE w:val="0"/>
      <w:autoSpaceDN w:val="0"/>
      <w:spacing w:line="240" w:lineRule="auto"/>
      <w:ind w:left="501" w:hanging="401"/>
      <w:outlineLvl w:val="2"/>
    </w:pPr>
    <w:rPr>
      <w:rFonts w:ascii="Microsoft JhengHei" w:hAnsi="Microsoft JhengHei" w:eastAsia="Microsoft JhengHei" w:cs="Microsoft JhengHei"/>
      <w:b/>
      <w:bCs/>
      <w:sz w:val="32"/>
      <w:szCs w:val="32"/>
      <w:lang w:eastAsia="en-US"/>
    </w:rPr>
  </w:style>
  <w:style w:type="paragraph" w:customStyle="1" w:styleId="91">
    <w:name w:val="样式 标题 1 + 黑体 三号 非加粗 居中 段前: 6 磅 段后: 6 磅 行距: 固定值 20 磅"/>
    <w:basedOn w:val="4"/>
    <w:qFormat/>
    <w:uiPriority w:val="0"/>
    <w:pPr>
      <w:widowControl w:val="0"/>
      <w:spacing w:before="120" w:after="120" w:line="400" w:lineRule="exact"/>
      <w:jc w:val="center"/>
    </w:pPr>
    <w:rPr>
      <w:rFonts w:ascii="黑体" w:hAnsi="黑体" w:eastAsia="黑体" w:cs="宋体"/>
      <w:kern w:val="44"/>
      <w:szCs w:val="20"/>
    </w:rPr>
  </w:style>
  <w:style w:type="table" w:customStyle="1" w:styleId="92">
    <w:name w:val="Table Normal1"/>
    <w:semiHidden/>
    <w:unhideWhenUsed/>
    <w:qFormat/>
    <w:uiPriority w:val="2"/>
    <w:pPr>
      <w:widowControl w:val="0"/>
      <w:autoSpaceDE w:val="0"/>
      <w:autoSpaceDN w:val="0"/>
    </w:pPr>
    <w:rPr>
      <w:lang w:eastAsia="en-US"/>
    </w:rPr>
    <w:tblPr>
      <w:tblCellMar>
        <w:top w:w="0" w:type="dxa"/>
        <w:left w:w="0" w:type="dxa"/>
        <w:bottom w:w="0" w:type="dxa"/>
        <w:right w:w="0" w:type="dxa"/>
      </w:tblCellMar>
    </w:tblPr>
  </w:style>
  <w:style w:type="character" w:customStyle="1" w:styleId="93">
    <w:name w:val="未处理的提及1"/>
    <w:basedOn w:val="39"/>
    <w:semiHidden/>
    <w:unhideWhenUsed/>
    <w:qFormat/>
    <w:uiPriority w:val="99"/>
    <w:rPr>
      <w:color w:val="605E5C"/>
      <w:shd w:val="clear" w:color="auto" w:fill="E1DFDD"/>
    </w:rPr>
  </w:style>
  <w:style w:type="character" w:customStyle="1" w:styleId="94">
    <w:name w:val="列表段落 字符"/>
    <w:link w:val="87"/>
    <w:qFormat/>
    <w:uiPriority w:val="34"/>
    <w:rPr>
      <w:rFonts w:asciiTheme="minorHAnsi" w:hAnsiTheme="minorHAnsi" w:cstheme="minorBidi"/>
      <w:sz w:val="21"/>
      <w:szCs w:val="22"/>
    </w:rPr>
  </w:style>
  <w:style w:type="character" w:customStyle="1" w:styleId="95">
    <w:name w:val="页眉 Char"/>
    <w:qFormat/>
    <w:uiPriority w:val="99"/>
    <w:rPr>
      <w:kern w:val="2"/>
      <w:sz w:val="18"/>
      <w:szCs w:val="18"/>
    </w:rPr>
  </w:style>
  <w:style w:type="character" w:customStyle="1" w:styleId="96">
    <w:name w:val="fontstyle01"/>
    <w:qFormat/>
    <w:uiPriority w:val="0"/>
    <w:rPr>
      <w:rFonts w:hint="eastAsia" w:ascii="宋体" w:hAnsi="宋体" w:eastAsia="宋体"/>
      <w:color w:val="000000"/>
      <w:sz w:val="24"/>
      <w:szCs w:val="24"/>
    </w:rPr>
  </w:style>
  <w:style w:type="paragraph" w:customStyle="1" w:styleId="97">
    <w:name w:val="内容"/>
    <w:basedOn w:val="1"/>
    <w:link w:val="98"/>
    <w:qFormat/>
    <w:uiPriority w:val="0"/>
    <w:pPr>
      <w:widowControl w:val="0"/>
      <w:autoSpaceDE w:val="0"/>
      <w:autoSpaceDN w:val="0"/>
      <w:adjustRightInd w:val="0"/>
      <w:snapToGrid w:val="0"/>
      <w:spacing w:line="480" w:lineRule="exact"/>
      <w:ind w:firstLine="200" w:firstLineChars="200"/>
      <w:jc w:val="both"/>
    </w:pPr>
    <w:rPr>
      <w:rFonts w:ascii="Times New Roman" w:hAnsi="Times New Roman" w:cs="Times New Roman"/>
      <w:kern w:val="2"/>
      <w:sz w:val="24"/>
      <w:szCs w:val="24"/>
    </w:rPr>
  </w:style>
  <w:style w:type="character" w:customStyle="1" w:styleId="98">
    <w:name w:val="内容 Char"/>
    <w:link w:val="97"/>
    <w:qFormat/>
    <w:uiPriority w:val="0"/>
    <w:rPr>
      <w:kern w:val="2"/>
      <w:sz w:val="24"/>
      <w:szCs w:val="24"/>
    </w:rPr>
  </w:style>
  <w:style w:type="character" w:customStyle="1" w:styleId="99">
    <w:name w:val="cy"/>
    <w:basedOn w:val="39"/>
    <w:qFormat/>
    <w:uiPriority w:val="0"/>
  </w:style>
  <w:style w:type="character" w:customStyle="1" w:styleId="100">
    <w:name w:val="active"/>
    <w:basedOn w:val="39"/>
    <w:qFormat/>
    <w:uiPriority w:val="0"/>
    <w:rPr>
      <w:color w:val="00FF00"/>
      <w:shd w:val="clear" w:color="auto" w:fill="111111"/>
    </w:rPr>
  </w:style>
  <w:style w:type="character" w:customStyle="1" w:styleId="101">
    <w:name w:val="edit_class"/>
    <w:basedOn w:val="39"/>
    <w:qFormat/>
    <w:uiPriority w:val="0"/>
  </w:style>
  <w:style w:type="character" w:customStyle="1" w:styleId="102">
    <w:name w:val="design_class"/>
    <w:basedOn w:val="39"/>
    <w:qFormat/>
    <w:uiPriority w:val="0"/>
  </w:style>
  <w:style w:type="character" w:customStyle="1" w:styleId="103">
    <w:name w:val="w32"/>
    <w:basedOn w:val="39"/>
    <w:qFormat/>
    <w:uiPriority w:val="0"/>
  </w:style>
  <w:style w:type="character" w:customStyle="1" w:styleId="104">
    <w:name w:val="ico1654"/>
    <w:basedOn w:val="39"/>
    <w:qFormat/>
    <w:uiPriority w:val="0"/>
  </w:style>
  <w:style w:type="character" w:customStyle="1" w:styleId="105">
    <w:name w:val="after"/>
    <w:basedOn w:val="39"/>
    <w:qFormat/>
    <w:uiPriority w:val="0"/>
    <w:rPr>
      <w:sz w:val="0"/>
      <w:szCs w:val="0"/>
    </w:rPr>
  </w:style>
  <w:style w:type="character" w:customStyle="1" w:styleId="106">
    <w:name w:val="drapbtn"/>
    <w:basedOn w:val="39"/>
    <w:qFormat/>
    <w:uiPriority w:val="0"/>
  </w:style>
  <w:style w:type="character" w:customStyle="1" w:styleId="107">
    <w:name w:val="icontext2"/>
    <w:basedOn w:val="39"/>
    <w:qFormat/>
    <w:uiPriority w:val="0"/>
  </w:style>
  <w:style w:type="character" w:customStyle="1" w:styleId="108">
    <w:name w:val="hilite6"/>
    <w:basedOn w:val="39"/>
    <w:qFormat/>
    <w:uiPriority w:val="0"/>
    <w:rPr>
      <w:color w:val="FFFFFF"/>
      <w:shd w:val="clear" w:color="auto" w:fill="666666"/>
    </w:rPr>
  </w:style>
  <w:style w:type="character" w:customStyle="1" w:styleId="109">
    <w:name w:val="biggerthanmax"/>
    <w:basedOn w:val="39"/>
    <w:qFormat/>
    <w:uiPriority w:val="0"/>
    <w:rPr>
      <w:shd w:val="clear" w:color="auto" w:fill="FFFF00"/>
    </w:rPr>
  </w:style>
  <w:style w:type="character" w:customStyle="1" w:styleId="110">
    <w:name w:val="iconline2"/>
    <w:basedOn w:val="39"/>
    <w:qFormat/>
    <w:uiPriority w:val="0"/>
  </w:style>
  <w:style w:type="character" w:customStyle="1" w:styleId="111">
    <w:name w:val="iconline21"/>
    <w:basedOn w:val="39"/>
    <w:qFormat/>
    <w:uiPriority w:val="0"/>
  </w:style>
  <w:style w:type="character" w:customStyle="1" w:styleId="112">
    <w:name w:val="pagechatarealistclose_box"/>
    <w:basedOn w:val="39"/>
    <w:qFormat/>
    <w:uiPriority w:val="0"/>
  </w:style>
  <w:style w:type="character" w:customStyle="1" w:styleId="113">
    <w:name w:val="pagechatarealistclose_box1"/>
    <w:basedOn w:val="39"/>
    <w:qFormat/>
    <w:uiPriority w:val="0"/>
  </w:style>
  <w:style w:type="character" w:customStyle="1" w:styleId="114">
    <w:name w:val="associateddata"/>
    <w:basedOn w:val="39"/>
    <w:qFormat/>
    <w:uiPriority w:val="0"/>
    <w:rPr>
      <w:shd w:val="clear" w:color="auto" w:fill="50A6F9"/>
    </w:rPr>
  </w:style>
  <w:style w:type="character" w:customStyle="1" w:styleId="115">
    <w:name w:val="choosename"/>
    <w:basedOn w:val="39"/>
    <w:qFormat/>
    <w:uiPriority w:val="0"/>
  </w:style>
  <w:style w:type="character" w:customStyle="1" w:styleId="116">
    <w:name w:val="cdropright"/>
    <w:basedOn w:val="39"/>
    <w:qFormat/>
    <w:uiPriority w:val="0"/>
  </w:style>
  <w:style w:type="character" w:customStyle="1" w:styleId="117">
    <w:name w:val="cdropleft"/>
    <w:basedOn w:val="39"/>
    <w:qFormat/>
    <w:uiPriority w:val="0"/>
  </w:style>
  <w:style w:type="character" w:customStyle="1" w:styleId="118">
    <w:name w:val="xdrichtextbox"/>
    <w:basedOn w:val="39"/>
    <w:qFormat/>
    <w:uiPriority w:val="0"/>
    <w:rPr>
      <w:color w:val="auto"/>
      <w:sz w:val="18"/>
      <w:szCs w:val="18"/>
      <w:u w:val="none"/>
      <w:bdr w:val="single" w:color="DCDCDC" w:sz="8" w:space="0"/>
      <w:shd w:val="clear" w:color="auto" w:fill="auto"/>
    </w:rPr>
  </w:style>
  <w:style w:type="character" w:customStyle="1" w:styleId="119">
    <w:name w:val="tmpztreemove_arrow"/>
    <w:basedOn w:val="39"/>
    <w:qFormat/>
    <w:uiPriority w:val="0"/>
  </w:style>
  <w:style w:type="character" w:customStyle="1" w:styleId="120">
    <w:name w:val="icontext1"/>
    <w:basedOn w:val="39"/>
    <w:qFormat/>
    <w:uiPriority w:val="0"/>
  </w:style>
  <w:style w:type="character" w:customStyle="1" w:styleId="121">
    <w:name w:val="icontext11"/>
    <w:basedOn w:val="39"/>
    <w:qFormat/>
    <w:uiPriority w:val="0"/>
  </w:style>
  <w:style w:type="character" w:customStyle="1" w:styleId="122">
    <w:name w:val="icontext12"/>
    <w:basedOn w:val="39"/>
    <w:qFormat/>
    <w:uiPriority w:val="0"/>
  </w:style>
  <w:style w:type="character" w:customStyle="1" w:styleId="123">
    <w:name w:val="icontext3"/>
    <w:basedOn w:val="39"/>
    <w:qFormat/>
    <w:uiPriority w:val="0"/>
  </w:style>
  <w:style w:type="character" w:customStyle="1" w:styleId="124">
    <w:name w:val="button4"/>
    <w:basedOn w:val="39"/>
    <w:qFormat/>
    <w:uiPriority w:val="0"/>
  </w:style>
  <w:style w:type="character" w:customStyle="1" w:styleId="125">
    <w:name w:val="layui-layer-tabnow"/>
    <w:basedOn w:val="39"/>
    <w:qFormat/>
    <w:uiPriority w:val="0"/>
    <w:rPr>
      <w:bdr w:val="single" w:color="CCCCCC" w:sz="6" w:space="0"/>
      <w:shd w:val="clear" w:color="auto" w:fill="FFFFFF"/>
    </w:rPr>
  </w:style>
  <w:style w:type="character" w:customStyle="1" w:styleId="126">
    <w:name w:val="first-child"/>
    <w:basedOn w:val="39"/>
    <w:qFormat/>
    <w:uiPriority w:val="0"/>
  </w:style>
  <w:style w:type="paragraph" w:customStyle="1" w:styleId="127">
    <w:name w:val="样式6"/>
    <w:basedOn w:val="1"/>
    <w:qFormat/>
    <w:uiPriority w:val="0"/>
    <w:pPr>
      <w:widowControl w:val="0"/>
      <w:adjustRightInd w:val="0"/>
      <w:snapToGrid w:val="0"/>
      <w:spacing w:beforeLines="50" w:afterLines="50"/>
      <w:ind w:firstLine="200" w:firstLineChars="200"/>
      <w:jc w:val="both"/>
    </w:pPr>
    <w:rPr>
      <w:rFonts w:ascii="Times New Roman" w:hAnsi="Times New Roman" w:eastAsia="仿宋_GB2312" w:cs="Times New Roman"/>
      <w:b/>
      <w:kern w:val="2"/>
      <w:sz w:val="24"/>
      <w:szCs w:val="24"/>
    </w:rPr>
  </w:style>
  <w:style w:type="character" w:customStyle="1" w:styleId="128">
    <w:name w:val="font21"/>
    <w:basedOn w:val="39"/>
    <w:qFormat/>
    <w:uiPriority w:val="0"/>
    <w:rPr>
      <w:rFonts w:hint="eastAsia" w:ascii="宋体" w:hAnsi="宋体" w:eastAsia="宋体" w:cs="宋体"/>
      <w:color w:val="000000"/>
      <w:sz w:val="21"/>
      <w:szCs w:val="21"/>
      <w:u w:val="none"/>
    </w:rPr>
  </w:style>
  <w:style w:type="character" w:customStyle="1" w:styleId="129">
    <w:name w:val="font51"/>
    <w:basedOn w:val="39"/>
    <w:qFormat/>
    <w:uiPriority w:val="0"/>
    <w:rPr>
      <w:rFonts w:hint="default" w:ascii="Arial" w:hAnsi="Arial" w:cs="Arial"/>
      <w:color w:val="000000"/>
      <w:sz w:val="20"/>
      <w:szCs w:val="20"/>
      <w:u w:val="none"/>
    </w:rPr>
  </w:style>
  <w:style w:type="character" w:customStyle="1" w:styleId="130">
    <w:name w:val="font31"/>
    <w:basedOn w:val="39"/>
    <w:qFormat/>
    <w:uiPriority w:val="0"/>
    <w:rPr>
      <w:rFonts w:hint="eastAsia" w:ascii="宋体" w:hAnsi="宋体" w:eastAsia="宋体" w:cs="宋体"/>
      <w:color w:val="000000"/>
      <w:sz w:val="20"/>
      <w:szCs w:val="20"/>
      <w:u w:val="none"/>
    </w:rPr>
  </w:style>
  <w:style w:type="character" w:customStyle="1" w:styleId="131">
    <w:name w:val="font61"/>
    <w:basedOn w:val="3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A137D-FF95-4ABC-8356-61AE6BE668E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76</Pages>
  <Words>35588</Words>
  <Characters>38452</Characters>
  <Lines>308</Lines>
  <Paragraphs>86</Paragraphs>
  <TotalTime>47</TotalTime>
  <ScaleCrop>false</ScaleCrop>
  <LinksUpToDate>false</LinksUpToDate>
  <CharactersWithSpaces>41373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2023-04-23T06:45:00Z</dcterms:created>
  <dc:creator>杨钰瑶</dc:creator>
  <cp:lastModifiedBy>封皞旭</cp:lastModifiedBy>
  <cp:lastPrinted>2022-07-01T06:53:00Z</cp:lastPrinted>
  <dcterms:modified xsi:type="dcterms:W3CDTF">2023-05-09T06:22:15Z</dcterms:modified>
  <dc:title>中华人民共和国</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382FA5B9DBCC467B92304EC8EFD5B162</vt:lpwstr>
  </property>
</Properties>
</file>